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6"/>
        <w:tblpPr w:leftFromText="180" w:rightFromText="180" w:vertAnchor="page" w:horzAnchor="page" w:tblpX="2380" w:tblpY="1113"/>
        <w:tblOverlap w:val="never"/>
        <w:tblW w:w="862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6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pPr>
              <w:jc w:val="both"/>
              <w:rPr>
                <w:rFonts w:hint="default" w:eastAsiaTheme="minorEastAsia"/>
                <w:vertAlign w:val="baseline"/>
                <w:lang w:val="en-US" w:eastAsia="zh-CN"/>
              </w:rPr>
            </w:pPr>
            <w:r>
              <w:rPr>
                <w:rFonts w:hint="eastAsia" w:ascii="方正小标宋简体" w:hAnsi="方正小标宋简体" w:eastAsia="方正小标宋简体" w:cs="方正小标宋简体"/>
                <w:sz w:val="24"/>
                <w:szCs w:val="24"/>
                <w:vertAlign w:val="baseline"/>
                <w:lang w:eastAsia="zh-CN"/>
              </w:rPr>
              <w:t>内部文件</w:t>
            </w:r>
            <w:r>
              <w:rPr>
                <w:rFonts w:hint="eastAsia" w:ascii="方正小标宋简体" w:hAnsi="方正小标宋简体" w:eastAsia="方正小标宋简体" w:cs="方正小标宋简体"/>
                <w:sz w:val="24"/>
                <w:szCs w:val="24"/>
                <w:vertAlign w:val="baseline"/>
                <w:lang w:val="en-US" w:eastAsia="zh-CN"/>
              </w:rPr>
              <w:t xml:space="preserve"> 请勿外传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6" w:hRule="atLeast"/>
          <w:jc w:val="center"/>
        </w:trPr>
        <w:tc>
          <w:tcPr>
            <w:tcW w:w="8620" w:type="dxa"/>
            <w:gridSpan w:val="2"/>
            <w:tcBorders>
              <w:tl2br w:val="nil"/>
              <w:tr2bl w:val="nil"/>
            </w:tcBorders>
            <w:vAlign w:val="top"/>
          </w:tcPr>
          <w:p>
            <w:pPr>
              <w:jc w:val="center"/>
              <w:rPr>
                <w:rFonts w:hint="default" w:eastAsia="黑体" w:cs="黑体" w:asciiTheme="majorAscii" w:hAnsiTheme="majorAscii"/>
                <w:b/>
                <w:bCs/>
                <w:color w:val="FF0000"/>
                <w:sz w:val="52"/>
                <w:szCs w:val="52"/>
                <w:vertAlign w:val="baseline"/>
                <w:lang w:eastAsia="zh-CN"/>
              </w:rPr>
            </w:pPr>
            <w:r>
              <w:rPr>
                <w:rFonts w:hint="eastAsia" w:ascii="方正小标宋简体" w:hAnsi="方正小标宋简体" w:eastAsia="方正小标宋简体" w:cs="方正小标宋简体"/>
                <w:b/>
                <w:bCs/>
                <w:color w:val="FF0000"/>
                <w:sz w:val="52"/>
                <w:szCs w:val="52"/>
                <w:vertAlign w:val="baseline"/>
                <w:lang w:eastAsia="zh-CN"/>
              </w:rPr>
              <w:t>公共管理学院信息简报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4" w:hRule="atLeast"/>
          <w:jc w:val="center"/>
        </w:trPr>
        <w:tc>
          <w:tcPr>
            <w:tcW w:w="8620"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before="313" w:beforeLines="100" w:after="0" w:line="15" w:lineRule="atLeast"/>
              <w:ind w:right="0"/>
              <w:jc w:val="center"/>
              <w:textAlignment w:val="auto"/>
              <w:rPr>
                <w:vertAlign w:val="baseline"/>
              </w:rPr>
            </w:pPr>
            <w:r>
              <w:rPr>
                <w:rFonts w:hint="eastAsia" w:ascii="方正小标宋简体" w:hAnsi="方正小标宋简体" w:eastAsia="方正小标宋简体" w:cs="方正小标宋简体"/>
                <w:b/>
                <w:bCs/>
                <w:color w:val="000000"/>
                <w:spacing w:val="0"/>
                <w:sz w:val="36"/>
                <w:szCs w:val="36"/>
                <w:lang w:eastAsia="zh-CN"/>
              </w:rPr>
              <w:t>2022年第</w:t>
            </w:r>
            <w:r>
              <w:rPr>
                <w:rFonts w:hint="eastAsia" w:ascii="方正小标宋简体" w:hAnsi="方正小标宋简体" w:eastAsia="方正小标宋简体" w:cs="方正小标宋简体"/>
                <w:b/>
                <w:bCs/>
                <w:color w:val="000000"/>
                <w:spacing w:val="0"/>
                <w:sz w:val="36"/>
                <w:szCs w:val="36"/>
                <w:lang w:val="en-US" w:eastAsia="zh-CN"/>
              </w:rPr>
              <w:t>8</w:t>
            </w:r>
            <w:r>
              <w:rPr>
                <w:rFonts w:hint="eastAsia" w:ascii="方正小标宋简体" w:hAnsi="方正小标宋简体" w:eastAsia="方正小标宋简体" w:cs="方正小标宋简体"/>
                <w:b/>
                <w:bCs/>
                <w:color w:val="000000"/>
                <w:spacing w:val="0"/>
                <w:sz w:val="36"/>
                <w:szCs w:val="36"/>
                <w:lang w:eastAsia="zh-CN"/>
              </w:rPr>
              <w:t>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4460" w:type="dxa"/>
            <w:tcBorders>
              <w:tl2br w:val="nil"/>
              <w:tr2bl w:val="nil"/>
            </w:tcBorders>
            <w:vAlign w:val="top"/>
          </w:tcPr>
          <w:p>
            <w:pPr>
              <w:ind w:firstLine="321" w:firstLineChars="100"/>
              <w:rPr>
                <w:vertAlign w:val="baseline"/>
              </w:rPr>
            </w:pPr>
            <w:r>
              <w:rPr>
                <w:rFonts w:hint="eastAsia" w:ascii="方正小标宋简体" w:hAnsi="方正小标宋简体" w:eastAsia="方正小标宋简体" w:cs="方正小标宋简体"/>
                <w:b/>
                <w:bCs/>
                <w:color w:val="000000"/>
                <w:spacing w:val="0"/>
                <w:sz w:val="32"/>
                <w:szCs w:val="32"/>
                <w:lang w:eastAsia="zh-CN"/>
              </w:rPr>
              <w:t>学院办公室</w:t>
            </w:r>
          </w:p>
        </w:tc>
        <w:tc>
          <w:tcPr>
            <w:tcW w:w="4160" w:type="dxa"/>
            <w:tcBorders>
              <w:tl2br w:val="nil"/>
              <w:tr2bl w:val="nil"/>
            </w:tcBorders>
            <w:vAlign w:val="top"/>
          </w:tcPr>
          <w:p>
            <w:pPr>
              <w:ind w:firstLine="964" w:firstLineChars="300"/>
              <w:rPr>
                <w:vertAlign w:val="baseline"/>
              </w:rPr>
            </w:pPr>
            <w:r>
              <w:rPr>
                <w:rFonts w:hint="eastAsia" w:ascii="方正小标宋简体" w:hAnsi="方正小标宋简体" w:eastAsia="方正小标宋简体" w:cs="方正小标宋简体"/>
                <w:b/>
                <w:bCs/>
                <w:color w:val="000000"/>
                <w:spacing w:val="0"/>
                <w:sz w:val="32"/>
                <w:szCs w:val="32"/>
                <w:lang w:val="en-US" w:eastAsia="zh-CN"/>
              </w:rPr>
              <w:t>2022年5</w:t>
            </w:r>
            <w:r>
              <w:rPr>
                <w:rFonts w:hint="eastAsia" w:ascii="方正小标宋简体" w:hAnsi="方正小标宋简体" w:eastAsia="方正小标宋简体" w:cs="方正小标宋简体"/>
                <w:b/>
                <w:bCs/>
                <w:color w:val="000000"/>
                <w:spacing w:val="0"/>
                <w:sz w:val="32"/>
                <w:szCs w:val="32"/>
                <w:lang w:eastAsia="zh-CN"/>
              </w:rPr>
              <w:t>月</w:t>
            </w:r>
            <w:r>
              <w:rPr>
                <w:rFonts w:hint="eastAsia" w:ascii="方正小标宋简体" w:hAnsi="方正小标宋简体" w:eastAsia="方正小标宋简体" w:cs="方正小标宋简体"/>
                <w:b/>
                <w:bCs/>
                <w:color w:val="000000"/>
                <w:spacing w:val="0"/>
                <w:sz w:val="32"/>
                <w:szCs w:val="32"/>
                <w:lang w:val="en-US" w:eastAsia="zh-CN"/>
              </w:rPr>
              <w:t>20</w:t>
            </w:r>
            <w:r>
              <w:rPr>
                <w:rFonts w:hint="eastAsia" w:ascii="方正小标宋简体" w:hAnsi="方正小标宋简体" w:eastAsia="方正小标宋简体" w:cs="方正小标宋简体"/>
                <w:b/>
                <w:bCs/>
                <w:color w:val="000000"/>
                <w:spacing w:val="0"/>
                <w:sz w:val="32"/>
                <w:szCs w:val="32"/>
                <w:lang w:eastAsia="zh-CN"/>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1" w:hRule="atLeast"/>
          <w:jc w:val="center"/>
        </w:trPr>
        <w:tc>
          <w:tcPr>
            <w:tcW w:w="8620" w:type="dxa"/>
            <w:gridSpan w:val="2"/>
            <w:tcBorders>
              <w:tl2br w:val="nil"/>
              <w:tr2bl w:val="nil"/>
            </w:tcBorders>
            <w:vAlign w:val="top"/>
          </w:tcPr>
          <w:p>
            <w:r>
              <mc:AlternateContent>
                <mc:Choice Requires="wps">
                  <w:drawing>
                    <wp:anchor distT="0" distB="0" distL="114300" distR="114300" simplePos="0" relativeHeight="251659264" behindDoc="0" locked="0" layoutInCell="1" allowOverlap="1">
                      <wp:simplePos x="0" y="0"/>
                      <wp:positionH relativeFrom="column">
                        <wp:posOffset>347980</wp:posOffset>
                      </wp:positionH>
                      <wp:positionV relativeFrom="paragraph">
                        <wp:posOffset>4445</wp:posOffset>
                      </wp:positionV>
                      <wp:extent cx="5457825" cy="28575"/>
                      <wp:effectExtent l="0" t="34925" r="9525" b="50800"/>
                      <wp:wrapNone/>
                      <wp:docPr id="1" name="直接连接符 1"/>
                      <wp:cNvGraphicFramePr/>
                      <a:graphic xmlns:a="http://schemas.openxmlformats.org/drawingml/2006/main">
                        <a:graphicData uri="http://schemas.microsoft.com/office/word/2010/wordprocessingShape">
                          <wps:wsp>
                            <wps:cNvCnPr/>
                            <wps:spPr>
                              <a:xfrm>
                                <a:off x="1308735" y="2296795"/>
                                <a:ext cx="5457825" cy="28575"/>
                              </a:xfrm>
                              <a:prstGeom prst="line">
                                <a:avLst/>
                              </a:prstGeom>
                              <a:ln w="69850" cmpd="thickThin">
                                <a:solidFill>
                                  <a:srgbClr val="FF0000"/>
                                </a:solidFill>
                                <a:prstDash val="solid"/>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7.4pt;margin-top:0.35pt;height:2.25pt;width:429.75pt;z-index:251659264;mso-width-relative:page;mso-height-relative:page;" filled="f" stroked="t" coordsize="21600,21600" o:gfxdata="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eSoUPTAAAABQEAAA8AAAAAAAAAAQAgAAAAIgAAAGRycy9kb3ducmV2Lnht&#10;bFBLAQIUABQAAAAIAIdO4kDvq1o3/gEAAMgDAAAOAAAAAAAAAAEAIAAAACIBAABkcnMvZTJvRG9j&#10;LnhtbFBLBQYAAAAABgAGAFkBAACSBQAAAAA=&#10;">
                      <v:fill on="f" focussize="0,0"/>
                      <v:stroke weight="5.5pt" color="#FF0000 [3205]" linestyle="thickThin" miterlimit="8" joinstyle="miter"/>
                      <v:imagedata o:title=""/>
                      <o:lock v:ext="edit" aspectratio="f"/>
                    </v:line>
                  </w:pict>
                </mc:Fallback>
              </mc:AlternateContent>
            </w:r>
          </w:p>
          <w:p>
            <w:pPr>
              <w:tabs>
                <w:tab w:val="left" w:pos="2151"/>
              </w:tabs>
              <w:bidi w:val="0"/>
              <w:jc w:val="left"/>
              <w:rPr>
                <w:lang w:val="en-US" w:eastAsia="zh-CN"/>
              </w:rPr>
            </w:pPr>
          </w:p>
        </w:tc>
      </w:tr>
    </w:tbl>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疫情防控</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rPr>
      </w:pPr>
      <w:r>
        <w:rPr>
          <w:rFonts w:hint="eastAsia" w:ascii="仿宋" w:hAnsi="仿宋" w:eastAsia="仿宋"/>
          <w:color w:val="000000"/>
          <w:sz w:val="32"/>
          <w:szCs w:val="32"/>
        </w:rPr>
        <w:t>配合学校每天做好重点区域旅居史排查工作、及时报送相关师生数据，改进学生每日健康打卡督促方式，</w:t>
      </w:r>
      <w:r>
        <w:rPr>
          <w:rFonts w:hint="eastAsia" w:ascii="仿宋" w:hAnsi="仿宋" w:eastAsia="仿宋"/>
          <w:color w:val="000000"/>
          <w:sz w:val="32"/>
          <w:szCs w:val="32"/>
          <w:lang w:eastAsia="zh-CN"/>
        </w:rPr>
        <w:t>并</w:t>
      </w:r>
      <w:r>
        <w:rPr>
          <w:rFonts w:hint="eastAsia" w:ascii="仿宋" w:hAnsi="仿宋" w:eastAsia="仿宋"/>
          <w:color w:val="000000"/>
          <w:sz w:val="32"/>
          <w:szCs w:val="32"/>
        </w:rPr>
        <w:t>实时关注各年级学生健康情况</w:t>
      </w:r>
      <w:r>
        <w:rPr>
          <w:rFonts w:hint="eastAsia" w:ascii="仿宋" w:hAnsi="仿宋" w:eastAsia="仿宋"/>
          <w:color w:val="000000"/>
          <w:sz w:val="32"/>
          <w:szCs w:val="32"/>
          <w:lang w:eastAsia="zh-CN"/>
        </w:rPr>
        <w:t>，</w:t>
      </w:r>
      <w:r>
        <w:rPr>
          <w:rFonts w:hint="eastAsia" w:ascii="仿宋" w:hAnsi="仿宋" w:eastAsia="仿宋"/>
          <w:color w:val="000000"/>
          <w:sz w:val="32"/>
          <w:szCs w:val="32"/>
        </w:rPr>
        <w:t>保证</w:t>
      </w:r>
      <w:r>
        <w:rPr>
          <w:rFonts w:hint="eastAsia" w:ascii="仿宋" w:hAnsi="仿宋" w:eastAsia="仿宋"/>
          <w:color w:val="000000"/>
          <w:sz w:val="32"/>
          <w:szCs w:val="32"/>
          <w:lang w:eastAsia="zh-CN"/>
        </w:rPr>
        <w:t>师生</w:t>
      </w:r>
      <w:r>
        <w:rPr>
          <w:rFonts w:hint="eastAsia" w:ascii="仿宋" w:hAnsi="仿宋" w:eastAsia="仿宋"/>
          <w:color w:val="000000"/>
          <w:sz w:val="32"/>
          <w:szCs w:val="32"/>
        </w:rPr>
        <w:t>健康打卡率100%。</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4" w:leftChars="0" w:firstLine="416" w:firstLineChars="0"/>
        <w:jc w:val="both"/>
        <w:textAlignment w:val="auto"/>
        <w:rPr>
          <w:rFonts w:hint="eastAsia" w:ascii="仿宋" w:hAnsi="仿宋" w:eastAsia="仿宋"/>
          <w:color w:val="000000"/>
          <w:sz w:val="32"/>
          <w:szCs w:val="32"/>
        </w:rPr>
      </w:pPr>
      <w:r>
        <w:rPr>
          <w:rFonts w:ascii="仿宋" w:hAnsi="仿宋" w:eastAsia="仿宋"/>
          <w:color w:val="000000"/>
          <w:sz w:val="32"/>
          <w:szCs w:val="32"/>
        </w:rPr>
        <w:t>根据上级和学校疫情防控要求，督促学院全体师生按要求参加核酸检测，做到应测尽测、应检尽检，不留死角、不漏一人。自觉压实主体责任，严格落实学校疫情防控工作要求，做好核酸检测组织动员和统计工作。配合学校每天做好重点区域旅居史排查工作、及时报送相关师学数据。截止5月13日，</w:t>
      </w:r>
      <w:r>
        <w:rPr>
          <w:rFonts w:ascii="仿宋" w:hAnsi="仿宋" w:eastAsia="仿宋"/>
          <w:b/>
          <w:bCs/>
          <w:color w:val="auto"/>
          <w:sz w:val="32"/>
          <w:szCs w:val="32"/>
        </w:rPr>
        <w:t>教职工“新冠”疫苗加强针接种情况</w:t>
      </w:r>
      <w:r>
        <w:rPr>
          <w:rFonts w:ascii="仿宋" w:hAnsi="仿宋" w:eastAsia="仿宋"/>
          <w:color w:val="000000"/>
          <w:sz w:val="32"/>
          <w:szCs w:val="32"/>
        </w:rPr>
        <w:t>：9位老师从没接种，1位老师已接种第一针，6位老师已接种第二针，50位老师已接种第三针（应该要接种第三针的老师是55位，但由于身体原因，有5位老师没有接种第三针）。</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党建思政</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5月17日下午，公共管理学院党委</w:t>
      </w:r>
      <w:r>
        <w:rPr>
          <w:rFonts w:hint="eastAsia" w:ascii="仿宋_GB2312" w:hAnsi="仿宋_GB2312" w:eastAsia="仿宋_GB2312" w:cs="仿宋_GB2312"/>
          <w:b/>
          <w:bCs/>
          <w:sz w:val="32"/>
          <w:szCs w:val="32"/>
          <w:lang w:val="en-US" w:eastAsia="zh-CN"/>
        </w:rPr>
        <w:t>围绕意识形态专题开展理论学习中心学习</w:t>
      </w:r>
      <w:r>
        <w:rPr>
          <w:rFonts w:hint="eastAsia" w:ascii="仿宋_GB2312" w:hAnsi="仿宋_GB2312" w:eastAsia="仿宋_GB2312" w:cs="仿宋_GB2312"/>
          <w:b w:val="0"/>
          <w:bCs w:val="0"/>
          <w:sz w:val="32"/>
          <w:szCs w:val="32"/>
          <w:lang w:val="en-US" w:eastAsia="zh-CN"/>
        </w:rPr>
        <w:t>，公共管理学院党委理论学习中心组成员、教工党支部书记参加学习。会议由公共管理学院党委书记钟智主持</w:t>
      </w:r>
      <w:r>
        <w:rPr>
          <w:rFonts w:hint="eastAsia" w:ascii="仿宋" w:hAnsi="仿宋" w:eastAsia="仿宋"/>
          <w:color w:val="000000"/>
          <w:sz w:val="32"/>
          <w:szCs w:val="32"/>
          <w:lang w:eastAsia="zh-CN"/>
        </w:rPr>
        <w:t>。</w:t>
      </w:r>
      <w:r>
        <w:rPr>
          <w:rFonts w:hint="eastAsia" w:ascii="仿宋_GB2312" w:hAnsi="仿宋_GB2312" w:eastAsia="仿宋_GB2312" w:cs="仿宋_GB2312"/>
          <w:b w:val="0"/>
          <w:bCs w:val="0"/>
          <w:sz w:val="32"/>
          <w:szCs w:val="32"/>
          <w:lang w:val="en-US" w:eastAsia="zh-CN"/>
        </w:rPr>
        <w:t>学了习近平总书记关于意识形态工作重要论述，强调要切实提升政治引领能力、理论宣传能力、思想整合能力和应对处理意识形态风险能力。宣传思想战线要增强脚力、眼力、脑力、笔力，切实做到政治过硬、本领高强、求实创新、能打胜仗。</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firstLine="420" w:firstLineChars="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学院学生党支部本学期党员发展对象遴选工作，在满足基本条件，遵循“优中选优”的原则下，对积极分子进行全面综合考察、选拔，各支部已进一步遴选出重点发展对象并完成公示。配合校组织部、党校跟进2022年上半年第70期入党积极分子党课培训，线上课程部分，已于5月20日完成。</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ascii="仿宋" w:hAnsi="仿宋" w:eastAsia="仿宋"/>
          <w:color w:val="000000"/>
          <w:sz w:val="32"/>
          <w:szCs w:val="32"/>
        </w:rPr>
      </w:pPr>
      <w:r>
        <w:rPr>
          <w:rFonts w:ascii="仿宋" w:hAnsi="仿宋" w:eastAsia="仿宋"/>
          <w:color w:val="000000"/>
          <w:sz w:val="32"/>
          <w:szCs w:val="32"/>
        </w:rPr>
        <w:t>学生各支部陆续开展对上半年预备党员考察期满拟转正人员的综合考察，按照工作安排逐步完成转正及后续工作</w:t>
      </w:r>
      <w:r>
        <w:rPr>
          <w:rFonts w:hint="eastAsia" w:ascii="仿宋" w:hAnsi="仿宋" w:eastAsia="仿宋"/>
          <w:color w:val="000000"/>
          <w:sz w:val="32"/>
          <w:szCs w:val="32"/>
          <w:lang w:eastAsia="zh-CN"/>
        </w:rPr>
        <w:t>。</w:t>
      </w: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教学科研</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bookmarkStart w:id="0" w:name="_GoBack"/>
      <w:r>
        <w:rPr>
          <w:rFonts w:hint="eastAsia" w:ascii="仿宋" w:hAnsi="仿宋" w:eastAsia="仿宋"/>
          <w:color w:val="000000"/>
          <w:sz w:val="32"/>
          <w:szCs w:val="32"/>
          <w:lang w:val="en-US" w:eastAsia="zh-CN"/>
        </w:rPr>
        <w:t>完成反馈研究生院关于《广东财经大学博士硕士学位论文抽检结果处理办法》《广东财经大学研究生教学事故认定与处理办法》意见</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制定了公共管理学院粤港澳联合培养MPA研究生专项计划实施方案，完成组织开展</w:t>
      </w:r>
      <w:r>
        <w:rPr>
          <w:rFonts w:hint="default" w:ascii="仿宋" w:hAnsi="仿宋" w:eastAsia="仿宋"/>
          <w:color w:val="000000"/>
          <w:sz w:val="32"/>
          <w:szCs w:val="32"/>
          <w:lang w:val="en-US" w:eastAsia="zh-CN"/>
        </w:rPr>
        <w:t>2022年硕士研究生指导教师</w:t>
      </w:r>
      <w:r>
        <w:rPr>
          <w:rFonts w:hint="eastAsia" w:ascii="仿宋" w:hAnsi="仿宋" w:eastAsia="仿宋"/>
          <w:color w:val="000000"/>
          <w:sz w:val="32"/>
          <w:szCs w:val="32"/>
          <w:lang w:val="en-US" w:eastAsia="zh-CN"/>
        </w:rPr>
        <w:t>招生资格审查</w:t>
      </w:r>
      <w:r>
        <w:rPr>
          <w:rFonts w:hint="default" w:ascii="仿宋" w:hAnsi="仿宋" w:eastAsia="仿宋"/>
          <w:color w:val="000000"/>
          <w:sz w:val="32"/>
          <w:szCs w:val="32"/>
          <w:lang w:val="en-US" w:eastAsia="zh-CN"/>
        </w:rPr>
        <w:t>工作</w:t>
      </w:r>
      <w:r>
        <w:rPr>
          <w:rFonts w:hint="eastAsia" w:ascii="仿宋" w:hAnsi="仿宋" w:eastAsia="仿宋"/>
          <w:color w:val="000000"/>
          <w:sz w:val="32"/>
          <w:szCs w:val="32"/>
          <w:lang w:val="en-US" w:eastAsia="zh-CN"/>
        </w:rPr>
        <w:t>和2022届夏季毕业生76位学生学位论文答辩工作</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组织申报2022年度高等学校科研平台和科研项目和完成填报科研业绩月报，</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ascii="仿宋" w:hAnsi="仿宋" w:eastAsia="仿宋"/>
          <w:color w:val="000000"/>
          <w:sz w:val="32"/>
          <w:szCs w:val="32"/>
          <w:lang w:val="en-US" w:eastAsia="zh-CN"/>
        </w:rPr>
        <w:t>完成申报广东省哲学社会科学“十四五”规划2022年度常规项目和2022年度广东省教育科学规划项目（高等教育专项）</w:t>
      </w:r>
      <w:r>
        <w:rPr>
          <w:rFonts w:hint="eastAsia" w:ascii="仿宋" w:hAnsi="仿宋" w:eastAsia="仿宋"/>
          <w:color w:val="000000"/>
          <w:sz w:val="32"/>
          <w:szCs w:val="32"/>
          <w:lang w:eastAsia="zh-CN"/>
        </w:rPr>
        <w:t>。</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落实学校对2022版本科人才培养方案的修订要求，组织各专业充分研讨，完善人才培养方案课程设置。</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结合中期检查要求，开展2021-2022学年第二学期课程PPT课件专项检查，组织完成2021-2022学年第二学期补缓考工作。核对本学期开课情况、期末考核方式及大学英语IV重修班名单。完成2019级本科生学情调查工作及2021级思想政治综合实践课</w:t>
      </w:r>
      <w:r>
        <w:rPr>
          <w:rFonts w:hint="eastAsia" w:ascii="仿宋" w:hAnsi="仿宋" w:eastAsia="仿宋"/>
          <w:color w:val="000000"/>
          <w:sz w:val="32"/>
          <w:szCs w:val="32"/>
          <w:lang w:val="en-US" w:eastAsia="zh-CN"/>
        </w:rPr>
        <w:fldChar w:fldCharType="begin"/>
      </w:r>
      <w:r>
        <w:rPr>
          <w:rFonts w:hint="eastAsia" w:ascii="仿宋" w:hAnsi="仿宋" w:eastAsia="仿宋"/>
          <w:color w:val="000000"/>
          <w:sz w:val="32"/>
          <w:szCs w:val="32"/>
          <w:lang w:val="en-US" w:eastAsia="zh-CN"/>
        </w:rPr>
        <w:instrText xml:space="preserve"> HYPERLINK "" \h </w:instrText>
      </w:r>
      <w:r>
        <w:rPr>
          <w:rFonts w:hint="eastAsia" w:ascii="仿宋" w:hAnsi="仿宋" w:eastAsia="仿宋"/>
          <w:color w:val="000000"/>
          <w:sz w:val="32"/>
          <w:szCs w:val="32"/>
          <w:lang w:val="en-US" w:eastAsia="zh-CN"/>
        </w:rPr>
        <w:fldChar w:fldCharType="separate"/>
      </w:r>
      <w:r>
        <w:rPr>
          <w:rFonts w:hint="eastAsia" w:ascii="仿宋" w:hAnsi="仿宋" w:eastAsia="仿宋"/>
          <w:color w:val="000000"/>
          <w:sz w:val="32"/>
          <w:szCs w:val="32"/>
          <w:lang w:val="en-US" w:eastAsia="zh-CN"/>
        </w:rPr>
        <w:t>欠费</w:t>
      </w:r>
      <w:r>
        <w:rPr>
          <w:rFonts w:hint="eastAsia" w:ascii="仿宋" w:hAnsi="仿宋" w:eastAsia="仿宋"/>
          <w:color w:val="000000"/>
          <w:sz w:val="32"/>
          <w:szCs w:val="32"/>
          <w:lang w:val="en-US" w:eastAsia="zh-CN"/>
        </w:rPr>
        <w:fldChar w:fldCharType="end"/>
      </w:r>
      <w:r>
        <w:rPr>
          <w:rFonts w:hint="eastAsia" w:ascii="仿宋" w:hAnsi="仿宋" w:eastAsia="仿宋"/>
          <w:color w:val="000000"/>
          <w:sz w:val="32"/>
          <w:szCs w:val="32"/>
          <w:lang w:val="en-US" w:eastAsia="zh-CN"/>
        </w:rPr>
        <w:t>学生学费催缴。</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结合学院发展，部署2022年度高等教育科学研究规划课题和教育部产学协同育人项目申报工作。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组织2022年度国家级、省级大学生创新创业训练计划项目立项评审与结项验收工作。</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val="en-US" w:eastAsia="zh-CN"/>
        </w:rPr>
      </w:pPr>
      <w:r>
        <w:rPr>
          <w:rFonts w:hint="eastAsia" w:ascii="仿宋" w:hAnsi="仿宋" w:eastAsia="仿宋"/>
          <w:color w:val="000000"/>
          <w:sz w:val="32"/>
          <w:szCs w:val="32"/>
          <w:lang w:val="en-US" w:eastAsia="zh-CN"/>
        </w:rPr>
        <w:t>据粤财大教[2022] 28号</w:t>
      </w:r>
      <w:r>
        <w:rPr>
          <w:rFonts w:hint="eastAsia" w:ascii="仿宋" w:hAnsi="仿宋" w:eastAsia="仿宋"/>
          <w:color w:val="000000"/>
          <w:sz w:val="32"/>
          <w:szCs w:val="32"/>
          <w:lang w:val="en-US" w:eastAsia="zh-CN"/>
        </w:rPr>
        <w:fldChar w:fldCharType="begin"/>
      </w:r>
      <w:r>
        <w:rPr>
          <w:rFonts w:hint="eastAsia" w:ascii="仿宋" w:hAnsi="仿宋" w:eastAsia="仿宋"/>
          <w:color w:val="000000"/>
          <w:sz w:val="32"/>
          <w:szCs w:val="32"/>
          <w:lang w:val="en-US" w:eastAsia="zh-CN"/>
        </w:rPr>
        <w:instrText xml:space="preserve"> HYPERLINK "" \h </w:instrText>
      </w:r>
      <w:r>
        <w:rPr>
          <w:rFonts w:hint="eastAsia" w:ascii="仿宋" w:hAnsi="仿宋" w:eastAsia="仿宋"/>
          <w:color w:val="000000"/>
          <w:sz w:val="32"/>
          <w:szCs w:val="32"/>
          <w:lang w:val="en-US" w:eastAsia="zh-CN"/>
        </w:rPr>
        <w:fldChar w:fldCharType="separate"/>
      </w:r>
      <w:r>
        <w:rPr>
          <w:rFonts w:hint="eastAsia" w:ascii="仿宋" w:hAnsi="仿宋" w:eastAsia="仿宋"/>
          <w:color w:val="000000"/>
          <w:sz w:val="32"/>
          <w:szCs w:val="32"/>
          <w:lang w:val="en-US" w:eastAsia="zh-CN"/>
        </w:rPr>
        <w:t>文</w:t>
      </w:r>
      <w:r>
        <w:rPr>
          <w:rFonts w:hint="eastAsia" w:ascii="仿宋" w:hAnsi="仿宋" w:eastAsia="仿宋"/>
          <w:color w:val="000000"/>
          <w:sz w:val="32"/>
          <w:szCs w:val="32"/>
          <w:lang w:val="en-US" w:eastAsia="zh-CN"/>
        </w:rPr>
        <w:fldChar w:fldCharType="end"/>
      </w:r>
      <w:r>
        <w:rPr>
          <w:rFonts w:hint="eastAsia" w:ascii="仿宋" w:hAnsi="仿宋" w:eastAsia="仿宋"/>
          <w:color w:val="000000"/>
          <w:sz w:val="32"/>
          <w:szCs w:val="32"/>
          <w:lang w:val="en-US" w:eastAsia="zh-CN"/>
        </w:rPr>
        <w:t>《关于做好自动退学学生认定工作的通知》，对在学校规定最长学习年限内未完成学业、休学或保留学籍期满逾期未提出复学申请的、逾期未注册而又未履行暂缓注册手续的2位学生，作自动退学处理，1位主动申请退学处理。</w:t>
      </w: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cs="Times New Roman"/>
          <w:kern w:val="2"/>
          <w:sz w:val="28"/>
          <w:szCs w:val="28"/>
          <w:lang w:val="en-US" w:eastAsia="zh-CN" w:bidi="ar-SA"/>
        </w:rPr>
      </w:pPr>
      <w:r>
        <w:rPr>
          <w:rFonts w:hint="eastAsia" w:ascii="仿宋" w:hAnsi="仿宋" w:eastAsia="仿宋"/>
          <w:color w:val="000000"/>
          <w:sz w:val="32"/>
          <w:szCs w:val="32"/>
          <w:lang w:val="en-US" w:eastAsia="zh-CN"/>
        </w:rPr>
        <w:t>加强实验室的日常管理工作，</w:t>
      </w:r>
      <w:r>
        <w:rPr>
          <w:rFonts w:hint="eastAsia" w:ascii="仿宋" w:hAnsi="仿宋" w:eastAsia="仿宋"/>
          <w:color w:val="000000"/>
          <w:sz w:val="32"/>
          <w:szCs w:val="32"/>
          <w:lang w:val="en-US" w:eastAsia="zh-CN"/>
        </w:rPr>
        <w:fldChar w:fldCharType="begin"/>
      </w:r>
      <w:r>
        <w:rPr>
          <w:rFonts w:hint="eastAsia" w:ascii="仿宋" w:hAnsi="仿宋" w:eastAsia="仿宋"/>
          <w:color w:val="000000"/>
          <w:sz w:val="32"/>
          <w:szCs w:val="32"/>
          <w:lang w:val="en-US" w:eastAsia="zh-CN"/>
        </w:rPr>
        <w:instrText xml:space="preserve"> HYPERLINK "" \h </w:instrText>
      </w:r>
      <w:r>
        <w:rPr>
          <w:rFonts w:hint="eastAsia" w:ascii="仿宋" w:hAnsi="仿宋" w:eastAsia="仿宋"/>
          <w:color w:val="000000"/>
          <w:sz w:val="32"/>
          <w:szCs w:val="32"/>
          <w:lang w:val="en-US" w:eastAsia="zh-CN"/>
        </w:rPr>
        <w:fldChar w:fldCharType="separate"/>
      </w:r>
      <w:r>
        <w:rPr>
          <w:rFonts w:hint="eastAsia" w:ascii="仿宋" w:hAnsi="仿宋" w:eastAsia="仿宋"/>
          <w:color w:val="000000"/>
          <w:sz w:val="32"/>
          <w:szCs w:val="32"/>
          <w:lang w:val="en-US" w:eastAsia="zh-CN"/>
        </w:rPr>
        <w:t>保障</w:t>
      </w:r>
      <w:r>
        <w:rPr>
          <w:rFonts w:hint="eastAsia" w:ascii="仿宋" w:hAnsi="仿宋" w:eastAsia="仿宋"/>
          <w:color w:val="000000"/>
          <w:sz w:val="32"/>
          <w:szCs w:val="32"/>
          <w:lang w:val="en-US" w:eastAsia="zh-CN"/>
        </w:rPr>
        <w:fldChar w:fldCharType="end"/>
      </w:r>
      <w:r>
        <w:rPr>
          <w:rFonts w:hint="eastAsia" w:ascii="仿宋" w:hAnsi="仿宋" w:eastAsia="仿宋"/>
          <w:color w:val="000000"/>
          <w:sz w:val="32"/>
          <w:szCs w:val="32"/>
          <w:lang w:val="en-US" w:eastAsia="zh-CN"/>
        </w:rPr>
        <w:t>正常教学</w:t>
      </w:r>
      <w:r>
        <w:rPr>
          <w:rFonts w:hint="eastAsia" w:ascii="仿宋" w:hAnsi="仿宋" w:eastAsia="仿宋"/>
          <w:color w:val="000000"/>
          <w:sz w:val="32"/>
          <w:szCs w:val="32"/>
          <w:lang w:val="en-US" w:eastAsia="zh-CN"/>
        </w:rPr>
        <w:fldChar w:fldCharType="begin"/>
      </w:r>
      <w:r>
        <w:rPr>
          <w:rFonts w:hint="eastAsia" w:ascii="仿宋" w:hAnsi="仿宋" w:eastAsia="仿宋"/>
          <w:color w:val="000000"/>
          <w:sz w:val="32"/>
          <w:szCs w:val="32"/>
          <w:lang w:val="en-US" w:eastAsia="zh-CN"/>
        </w:rPr>
        <w:instrText xml:space="preserve"> HYPERLINK "" \h </w:instrText>
      </w:r>
      <w:r>
        <w:rPr>
          <w:rFonts w:hint="eastAsia" w:ascii="仿宋" w:hAnsi="仿宋" w:eastAsia="仿宋"/>
          <w:color w:val="000000"/>
          <w:sz w:val="32"/>
          <w:szCs w:val="32"/>
          <w:lang w:val="en-US" w:eastAsia="zh-CN"/>
        </w:rPr>
        <w:fldChar w:fldCharType="separate"/>
      </w:r>
      <w:r>
        <w:rPr>
          <w:rFonts w:hint="eastAsia" w:ascii="仿宋" w:hAnsi="仿宋" w:eastAsia="仿宋"/>
          <w:color w:val="000000"/>
          <w:sz w:val="32"/>
          <w:szCs w:val="32"/>
          <w:lang w:val="en-US" w:eastAsia="zh-CN"/>
        </w:rPr>
        <w:t>运行</w:t>
      </w:r>
      <w:r>
        <w:rPr>
          <w:rFonts w:hint="eastAsia" w:ascii="仿宋" w:hAnsi="仿宋" w:eastAsia="仿宋"/>
          <w:color w:val="000000"/>
          <w:sz w:val="32"/>
          <w:szCs w:val="32"/>
          <w:lang w:val="en-US" w:eastAsia="zh-CN"/>
        </w:rPr>
        <w:fldChar w:fldCharType="end"/>
      </w:r>
      <w:r>
        <w:rPr>
          <w:rFonts w:hint="eastAsia" w:ascii="仿宋" w:hAnsi="仿宋" w:eastAsia="仿宋"/>
          <w:color w:val="000000"/>
          <w:sz w:val="32"/>
          <w:szCs w:val="32"/>
          <w:lang w:val="en-US" w:eastAsia="zh-CN"/>
        </w:rPr>
        <w:t>，本周内实验室的大致工作如下：</w:t>
      </w:r>
      <w:bookmarkEnd w:id="0"/>
    </w:p>
    <w:tbl>
      <w:tblPr>
        <w:tblStyle w:val="6"/>
        <w:tblpPr w:leftFromText="180" w:rightFromText="180" w:vertAnchor="text" w:horzAnchor="page" w:tblpX="2462" w:tblpY="32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915"/>
        <w:gridCol w:w="6210"/>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b/>
                <w:bCs/>
                <w:color w:val="000000"/>
                <w:spacing w:val="0"/>
                <w:sz w:val="26"/>
                <w:szCs w:val="26"/>
              </w:rPr>
              <w:t>序号</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b/>
                <w:bCs/>
                <w:color w:val="000000"/>
                <w:spacing w:val="0"/>
                <w:sz w:val="26"/>
                <w:szCs w:val="26"/>
              </w:rPr>
              <w:t>工作内容</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b/>
                <w:bCs/>
                <w:color w:val="000000"/>
                <w:spacing w:val="0"/>
                <w:sz w:val="26"/>
                <w:szCs w:val="26"/>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计算机系统重装</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2</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计算机无法关机，电源设置</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2台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3</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Gakataka学生端无法连接教师端，卸掉重装，设置密码</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4</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三水校区借用本部碳纤杆，并运送到三水校区</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5</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安装QQ浏览器</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5台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6</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计算机桌面清理</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65"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7</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实验楼204室和205室窗帘报废及更换的申请</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2份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8</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野外实习记录的清点及搬运到学院资料室</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9箱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2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9</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无用电线报修及清理</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2条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10</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风扇不转动报修</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55"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11</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电灯报修</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55"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12</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《广东财经大学实验室管理单位安全责任书》签订</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3份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55" w:hRule="atLeast"/>
        </w:trPr>
        <w:tc>
          <w:tcPr>
            <w:tcW w:w="91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13</w:t>
            </w:r>
          </w:p>
        </w:tc>
        <w:tc>
          <w:tcPr>
            <w:tcW w:w="6210"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实验室安全记录台账每日巡检并记录</w:t>
            </w:r>
          </w:p>
        </w:tc>
        <w:tc>
          <w:tcPr>
            <w:tcW w:w="1185"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spacing w:before="0" w:after="0" w:line="360" w:lineRule="auto"/>
              <w:ind w:left="0" w:right="0"/>
              <w:jc w:val="center"/>
              <w:rPr>
                <w:rFonts w:ascii="华文楷体" w:hAnsi="华文楷体" w:eastAsia="华文楷体"/>
                <w:color w:val="000000"/>
                <w:sz w:val="23"/>
                <w:szCs w:val="23"/>
              </w:rPr>
            </w:pPr>
            <w:r>
              <w:rPr>
                <w:rFonts w:ascii="华文楷体" w:hAnsi="华文楷体" w:eastAsia="华文楷体"/>
                <w:color w:val="000000"/>
                <w:spacing w:val="0"/>
                <w:sz w:val="26"/>
                <w:szCs w:val="26"/>
              </w:rPr>
              <w:t>2份</w:t>
            </w:r>
          </w:p>
        </w:tc>
      </w:tr>
    </w:tbl>
    <w:p>
      <w:pPr>
        <w:snapToGrid w:val="0"/>
        <w:spacing w:before="0" w:after="0" w:line="240" w:lineRule="auto"/>
        <w:jc w:val="left"/>
        <w:rPr>
          <w:rFonts w:ascii="微软雅黑" w:hAnsi="微软雅黑" w:eastAsia="微软雅黑"/>
          <w:color w:val="000000"/>
          <w:sz w:val="21"/>
          <w:szCs w:val="21"/>
        </w:rPr>
      </w:pP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学生工作</w:t>
      </w:r>
      <w:r>
        <w:rPr>
          <w:rFonts w:hint="eastAsia" w:ascii="华文中宋" w:hAnsi="华文中宋" w:eastAsia="华文中宋" w:cs="华文中宋"/>
          <w:b/>
          <w:bCs/>
          <w:color w:val="000000"/>
          <w:sz w:val="40"/>
          <w:szCs w:val="40"/>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center"/>
        <w:textAlignment w:val="auto"/>
        <w:rPr>
          <w:rFonts w:hint="eastAsia" w:ascii="仿宋" w:hAnsi="仿宋" w:eastAsia="仿宋"/>
          <w:color w:val="000000"/>
          <w:sz w:val="32"/>
          <w:szCs w:val="32"/>
          <w:lang w:eastAsia="zh-CN"/>
        </w:rPr>
      </w:pPr>
    </w:p>
    <w:p>
      <w:pPr>
        <w:keepNext w:val="0"/>
        <w:keepLines w:val="0"/>
        <w:pageBreakBefore w:val="0"/>
        <w:widowControl w:val="0"/>
        <w:numPr>
          <w:ilvl w:val="0"/>
          <w:numId w:val="1"/>
        </w:numPr>
        <w:kinsoku/>
        <w:wordWrap/>
        <w:overflowPunct/>
        <w:topLinePunct w:val="0"/>
        <w:autoSpaceDE/>
        <w:autoSpaceDN/>
        <w:bidi w:val="0"/>
        <w:adjustRightInd/>
        <w:snapToGrid w:val="0"/>
        <w:spacing w:before="0" w:after="0" w:line="360" w:lineRule="auto"/>
        <w:ind w:left="-10" w:leftChars="0" w:firstLine="430" w:firstLineChars="0"/>
        <w:jc w:val="both"/>
        <w:textAlignment w:val="auto"/>
        <w:rPr>
          <w:rFonts w:hint="eastAsia" w:ascii="仿宋" w:hAnsi="仿宋" w:eastAsia="仿宋"/>
          <w:color w:val="000000"/>
          <w:sz w:val="32"/>
          <w:szCs w:val="32"/>
          <w:lang w:eastAsia="zh-CN"/>
        </w:rPr>
      </w:pPr>
      <w:r>
        <w:rPr>
          <w:rFonts w:hint="eastAsia"/>
          <w:b w:val="0"/>
          <w:bCs w:val="0"/>
          <w:sz w:val="32"/>
          <w:szCs w:val="32"/>
          <w:lang w:val="en-US" w:eastAsia="zh-CN"/>
        </w:rPr>
        <w:t>5月19日，公共管理学院党委书记钟智一行走访广州艾捷斯医疗器械有限公司、百佑佳（广州）食品有限公司、广州家馨居贸易有限公司三家</w:t>
      </w:r>
      <w:r>
        <w:rPr>
          <w:rFonts w:hint="eastAsia" w:ascii="Tahoma" w:hAnsi="Tahoma" w:eastAsia="Tahoma" w:cs="Tahoma"/>
          <w:b w:val="0"/>
          <w:bCs w:val="0"/>
          <w:i w:val="0"/>
          <w:iCs w:val="0"/>
          <w:caps w:val="0"/>
          <w:color w:val="333333"/>
          <w:spacing w:val="0"/>
          <w:kern w:val="2"/>
          <w:sz w:val="32"/>
          <w:szCs w:val="32"/>
          <w:shd w:val="clear" w:fill="FFFFFF"/>
          <w:lang w:val="en-US" w:eastAsia="zh-CN" w:bidi="ar-SA"/>
        </w:rPr>
        <w:t>企业，</w:t>
      </w:r>
      <w:r>
        <w:rPr>
          <w:rFonts w:hint="default" w:ascii="Tahoma" w:hAnsi="Tahoma" w:eastAsia="Tahoma" w:cs="Tahoma"/>
          <w:b w:val="0"/>
          <w:bCs w:val="0"/>
          <w:i w:val="0"/>
          <w:iCs w:val="0"/>
          <w:caps w:val="0"/>
          <w:color w:val="333333"/>
          <w:spacing w:val="0"/>
          <w:kern w:val="2"/>
          <w:sz w:val="32"/>
          <w:szCs w:val="32"/>
          <w:shd w:val="clear" w:fill="FFFFFF"/>
          <w:lang w:val="en-US" w:eastAsia="zh-CN" w:bidi="ar-SA"/>
        </w:rPr>
        <w:t>开展访企拓岗促就业专项行动。</w:t>
      </w:r>
    </w:p>
    <w:p>
      <w:pPr>
        <w:pStyle w:val="2"/>
        <w:rPr>
          <w:rFonts w:hint="eastAsia"/>
          <w:lang w:eastAsia="zh-CN"/>
        </w:rPr>
      </w:pPr>
      <w:r>
        <w:drawing>
          <wp:inline distT="0" distB="0" distL="114300" distR="114300">
            <wp:extent cx="4584700" cy="3212465"/>
            <wp:effectExtent l="0" t="0" r="6350" b="698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4584700" cy="321246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val="0"/>
        <w:spacing w:before="0" w:after="0" w:line="360" w:lineRule="auto"/>
        <w:ind w:left="210" w:leftChars="0"/>
        <w:jc w:val="center"/>
        <w:textAlignment w:val="auto"/>
        <w:rPr>
          <w:rFonts w:hint="eastAsia" w:ascii="仿宋" w:hAnsi="仿宋" w:eastAsia="仿宋"/>
          <w:color w:val="000000"/>
          <w:sz w:val="32"/>
          <w:szCs w:val="32"/>
          <w:lang w:eastAsia="zh-CN"/>
        </w:rPr>
      </w:pP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jc w:val="both"/>
        <w:textAlignment w:val="auto"/>
        <w:rPr>
          <w:rFonts w:hint="eastAsia" w:ascii="仿宋" w:hAnsi="仿宋" w:eastAsia="仿宋"/>
          <w:color w:val="000000"/>
          <w:sz w:val="32"/>
          <w:szCs w:val="32"/>
          <w:lang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合作交流</w:t>
      </w:r>
      <w:r>
        <w:rPr>
          <w:rFonts w:hint="eastAsia" w:ascii="华文中宋" w:hAnsi="华文中宋" w:eastAsia="华文中宋" w:cs="华文中宋"/>
          <w:b/>
          <w:bCs/>
          <w:color w:val="000000"/>
          <w:sz w:val="40"/>
          <w:szCs w:val="40"/>
          <w:lang w:eastAsia="zh-CN"/>
        </w:rPr>
        <w:t>】</w:t>
      </w:r>
    </w:p>
    <w:p>
      <w:pPr>
        <w:numPr>
          <w:ilvl w:val="0"/>
          <w:numId w:val="1"/>
        </w:numPr>
        <w:ind w:left="0" w:leftChars="0" w:firstLine="419" w:firstLineChars="131"/>
        <w:rPr>
          <w:rFonts w:cs="Lucida Sans Unicode" w:asciiTheme="minorEastAsia" w:hAnsiTheme="minorEastAsia"/>
          <w:color w:val="333333"/>
          <w:szCs w:val="21"/>
        </w:rPr>
      </w:pPr>
      <w:r>
        <w:rPr>
          <w:rFonts w:hint="eastAsia" w:ascii="仿宋_GB2312" w:hAnsi="仿宋_GB2312" w:eastAsia="仿宋_GB2312" w:cs="仿宋_GB2312"/>
          <w:sz w:val="32"/>
          <w:szCs w:val="32"/>
        </w:rPr>
        <w:t>5月17日下午，</w:t>
      </w:r>
      <w:r>
        <w:rPr>
          <w:rFonts w:hint="eastAsia" w:ascii="仿宋_GB2312" w:hAnsi="仿宋_GB2312" w:eastAsia="仿宋_GB2312" w:cs="仿宋_GB2312"/>
          <w:color w:val="333333"/>
          <w:sz w:val="32"/>
          <w:szCs w:val="32"/>
        </w:rPr>
        <w:t>海珠区委党史文献研究室副主任罗丽斯、科长刘冬等一行到公共管理学院开展党史研究项目结项</w:t>
      </w:r>
      <w:r>
        <w:rPr>
          <w:rFonts w:hint="eastAsia" w:ascii="仿宋_GB2312" w:hAnsi="仿宋_GB2312" w:eastAsia="仿宋_GB2312" w:cs="仿宋_GB2312"/>
          <w:color w:val="333333"/>
          <w:sz w:val="32"/>
          <w:szCs w:val="32"/>
          <w:lang w:eastAsia="zh-CN"/>
        </w:rPr>
        <w:t>，</w:t>
      </w:r>
      <w:r>
        <w:rPr>
          <w:rFonts w:hint="eastAsia" w:ascii="仿宋_GB2312" w:hAnsi="仿宋_GB2312" w:eastAsia="仿宋_GB2312" w:cs="仿宋_GB2312"/>
          <w:color w:val="333333"/>
          <w:sz w:val="32"/>
          <w:szCs w:val="32"/>
          <w:lang w:val="en-US" w:eastAsia="zh-CN"/>
        </w:rPr>
        <w:t>同时对进一步加强校政合作进行</w:t>
      </w:r>
      <w:r>
        <w:rPr>
          <w:rFonts w:hint="eastAsia" w:ascii="仿宋_GB2312" w:hAnsi="仿宋_GB2312" w:eastAsia="仿宋_GB2312" w:cs="仿宋_GB2312"/>
          <w:color w:val="333333"/>
          <w:sz w:val="32"/>
          <w:szCs w:val="32"/>
        </w:rPr>
        <w:t>座谈</w:t>
      </w:r>
      <w:r>
        <w:rPr>
          <w:rFonts w:hint="eastAsia" w:ascii="仿宋_GB2312" w:hAnsi="仿宋_GB2312" w:eastAsia="仿宋_GB2312" w:cs="仿宋_GB2312"/>
          <w:color w:val="333333"/>
          <w:sz w:val="32"/>
          <w:szCs w:val="32"/>
          <w:lang w:val="en-US" w:eastAsia="zh-CN"/>
        </w:rPr>
        <w:t>交流</w:t>
      </w:r>
      <w:r>
        <w:rPr>
          <w:rFonts w:hint="eastAsia" w:ascii="仿宋_GB2312" w:hAnsi="仿宋_GB2312" w:eastAsia="仿宋_GB2312" w:cs="仿宋_GB2312"/>
          <w:color w:val="333333"/>
          <w:sz w:val="32"/>
          <w:szCs w:val="32"/>
        </w:rPr>
        <w:t>。公共管理学院党委书记钟智、华南商业史研究中心徐靖捷、黄素娟、廖志伟等出席交流会。双方在友好的交流下达成共识，认为党史和地方志研究的根基在于基础资料的收集整理，高校能够发挥专业优势和教学特长，扎根海珠区的基层社会，在乡村历史调查和资料收集、改革开放以来的变迁与成就、城市更新改造中传统文化的发掘等方面继续开展深入合作。</w:t>
      </w:r>
    </w:p>
    <w:p>
      <w:pPr>
        <w:ind w:firstLine="420" w:firstLineChars="200"/>
        <w:jc w:val="left"/>
        <w:rPr>
          <w:rFonts w:hint="eastAsia" w:ascii="仿宋_GB2312" w:hAnsi="仿宋_GB2312" w:eastAsia="仿宋_GB2312" w:cs="仿宋_GB2312"/>
          <w:sz w:val="32"/>
          <w:szCs w:val="32"/>
        </w:rPr>
      </w:pPr>
      <w:r>
        <w:drawing>
          <wp:inline distT="0" distB="0" distL="114300" distR="114300">
            <wp:extent cx="4463415" cy="2700020"/>
            <wp:effectExtent l="0" t="0" r="13335" b="50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5"/>
                    <a:stretch>
                      <a:fillRect/>
                    </a:stretch>
                  </pic:blipFill>
                  <pic:spPr>
                    <a:xfrm>
                      <a:off x="0" y="0"/>
                      <a:ext cx="4463415" cy="2700020"/>
                    </a:xfrm>
                    <a:prstGeom prst="rect">
                      <a:avLst/>
                    </a:prstGeom>
                    <a:noFill/>
                    <a:ln>
                      <a:noFill/>
                    </a:ln>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right="0" w:rightChars="0"/>
        <w:jc w:val="both"/>
        <w:textAlignment w:val="auto"/>
        <w:rPr>
          <w:rFonts w:hint="eastAsia" w:ascii="仿宋_GB2312" w:hAnsi="仿宋_GB2312" w:eastAsia="仿宋_GB2312" w:cs="仿宋_GB2312"/>
          <w:color w:val="000000"/>
          <w:sz w:val="32"/>
          <w:szCs w:val="32"/>
        </w:rPr>
      </w:pPr>
    </w:p>
    <w:p>
      <w:pPr>
        <w:pStyle w:val="2"/>
        <w:rPr>
          <w:rFonts w:hint="eastAsia" w:ascii="仿宋_GB2312" w:hAnsi="仿宋_GB2312" w:eastAsia="仿宋_GB2312" w:cs="仿宋_GB2312"/>
          <w:color w:val="000000"/>
          <w:sz w:val="32"/>
          <w:szCs w:val="32"/>
        </w:rPr>
      </w:pPr>
    </w:p>
    <w:p>
      <w:pPr>
        <w:rPr>
          <w:rFonts w:hint="eastAsia"/>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华文中宋" w:hAnsi="华文中宋" w:eastAsia="华文中宋" w:cs="华文中宋"/>
          <w:b/>
          <w:bCs/>
          <w:color w:val="000000"/>
          <w:sz w:val="40"/>
          <w:szCs w:val="40"/>
          <w:lang w:eastAsia="zh-CN"/>
        </w:rPr>
      </w:pPr>
      <w:r>
        <w:rPr>
          <w:rFonts w:hint="eastAsia" w:ascii="华文中宋" w:hAnsi="华文中宋" w:eastAsia="华文中宋" w:cs="华文中宋"/>
          <w:b/>
          <w:bCs/>
          <w:color w:val="000000"/>
          <w:sz w:val="40"/>
          <w:szCs w:val="40"/>
          <w:lang w:eastAsia="zh-CN"/>
        </w:rPr>
        <w:t>【</w:t>
      </w:r>
      <w:r>
        <w:rPr>
          <w:rFonts w:hint="eastAsia" w:ascii="华文中宋" w:hAnsi="华文中宋" w:eastAsia="华文中宋" w:cs="华文中宋"/>
          <w:b/>
          <w:bCs/>
          <w:color w:val="000000"/>
          <w:sz w:val="40"/>
          <w:szCs w:val="40"/>
        </w:rPr>
        <w:t>综合管理</w:t>
      </w:r>
      <w:r>
        <w:rPr>
          <w:rFonts w:hint="eastAsia" w:ascii="华文中宋" w:hAnsi="华文中宋" w:eastAsia="华文中宋" w:cs="华文中宋"/>
          <w:b/>
          <w:bCs/>
          <w:color w:val="000000"/>
          <w:sz w:val="40"/>
          <w:szCs w:val="40"/>
          <w:lang w:eastAsia="zh-CN"/>
        </w:rPr>
        <w:t>】</w:t>
      </w:r>
    </w:p>
    <w:p>
      <w:pPr>
        <w:numPr>
          <w:ilvl w:val="0"/>
          <w:numId w:val="3"/>
        </w:numPr>
        <w:snapToGrid w:val="0"/>
        <w:spacing w:before="0" w:after="0" w:line="360" w:lineRule="auto"/>
        <w:ind w:left="0" w:leftChars="0" w:firstLine="419" w:firstLineChars="131"/>
        <w:jc w:val="both"/>
        <w:rPr>
          <w:rFonts w:ascii="仿宋" w:hAnsi="仿宋" w:eastAsia="仿宋"/>
          <w:color w:val="000000"/>
          <w:sz w:val="32"/>
          <w:szCs w:val="32"/>
        </w:rPr>
      </w:pPr>
      <w:r>
        <w:rPr>
          <w:rFonts w:ascii="仿宋" w:hAnsi="仿宋" w:eastAsia="仿宋"/>
          <w:color w:val="000000"/>
          <w:sz w:val="32"/>
          <w:szCs w:val="32"/>
        </w:rPr>
        <w:t>实验室管理制度更新并汇编制定成册，如图：</w:t>
      </w:r>
    </w:p>
    <w:p>
      <w:pPr>
        <w:keepNext w:val="0"/>
        <w:keepLines w:val="0"/>
        <w:pageBreakBefore w:val="0"/>
        <w:widowControl w:val="0"/>
        <w:numPr>
          <w:numId w:val="0"/>
        </w:numPr>
        <w:kinsoku/>
        <w:wordWrap/>
        <w:overflowPunct/>
        <w:topLinePunct w:val="0"/>
        <w:autoSpaceDE/>
        <w:autoSpaceDN/>
        <w:bidi w:val="0"/>
        <w:adjustRightInd/>
        <w:snapToGrid w:val="0"/>
        <w:spacing w:before="0" w:after="0" w:line="360" w:lineRule="auto"/>
        <w:ind w:left="420" w:leftChars="0"/>
        <w:jc w:val="both"/>
        <w:textAlignment w:val="auto"/>
        <w:rPr>
          <w:rFonts w:hint="eastAsia" w:ascii="仿宋" w:hAnsi="仿宋" w:eastAsia="仿宋"/>
          <w:color w:val="000000"/>
          <w:sz w:val="32"/>
          <w:szCs w:val="32"/>
          <w:lang w:eastAsia="zh-CN"/>
        </w:rPr>
      </w:pPr>
      <w:r>
        <w:rPr>
          <w:rFonts w:ascii="仿宋" w:hAnsi="仿宋" w:eastAsia="仿宋"/>
          <w:color w:val="000000"/>
          <w:sz w:val="32"/>
          <w:szCs w:val="32"/>
        </w:rPr>
        <w:drawing>
          <wp:inline distT="0" distB="0" distL="0" distR="0">
            <wp:extent cx="2247900" cy="2924810"/>
            <wp:effectExtent l="0" t="0" r="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2247900" cy="2924810"/>
                    </a:xfrm>
                    <a:prstGeom prst="rect">
                      <a:avLst/>
                    </a:prstGeom>
                  </pic:spPr>
                </pic:pic>
              </a:graphicData>
            </a:graphic>
          </wp:inline>
        </w:drawing>
      </w:r>
      <w:r>
        <w:rPr>
          <w:rFonts w:ascii="仿宋" w:hAnsi="仿宋" w:eastAsia="仿宋"/>
          <w:color w:val="000000"/>
          <w:sz w:val="32"/>
          <w:szCs w:val="32"/>
        </w:rPr>
        <w:drawing>
          <wp:inline distT="0" distB="0" distL="0" distR="0">
            <wp:extent cx="1955165" cy="2895600"/>
            <wp:effectExtent l="0" t="0" r="698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955165" cy="2895600"/>
                    </a:xfrm>
                    <a:prstGeom prst="rect">
                      <a:avLst/>
                    </a:prstGeom>
                  </pic:spPr>
                </pic:pic>
              </a:graphicData>
            </a:graphic>
          </wp:inline>
        </w:drawing>
      </w:r>
      <w:r>
        <w:rPr>
          <w:rFonts w:hint="eastAsia" w:ascii="仿宋" w:hAnsi="仿宋" w:eastAsia="仿宋"/>
          <w:color w:val="000000"/>
          <w:sz w:val="32"/>
          <w:szCs w:val="32"/>
          <w:lang w:eastAsia="zh-CN"/>
        </w:rPr>
        <w:t>。</w:t>
      </w:r>
    </w:p>
    <w:p>
      <w:pPr>
        <w:pStyle w:val="2"/>
        <w:rPr>
          <w:rFonts w:hint="eastAsia" w:ascii="仿宋" w:hAnsi="仿宋" w:eastAsia="仿宋"/>
          <w:color w:val="000000"/>
          <w:sz w:val="32"/>
          <w:szCs w:val="32"/>
          <w:lang w:eastAsia="zh-CN"/>
        </w:rPr>
      </w:pPr>
    </w:p>
    <w:p>
      <w:pPr>
        <w:rPr>
          <w:rFonts w:hint="eastAsia" w:ascii="仿宋" w:hAnsi="仿宋" w:eastAsia="仿宋"/>
          <w:color w:val="000000"/>
          <w:sz w:val="32"/>
          <w:szCs w:val="32"/>
          <w:lang w:eastAsia="zh-CN"/>
        </w:rPr>
      </w:pPr>
    </w:p>
    <w:p>
      <w:pPr>
        <w:numPr>
          <w:ilvl w:val="0"/>
          <w:numId w:val="3"/>
        </w:numPr>
        <w:snapToGrid w:val="0"/>
        <w:spacing w:before="0" w:after="0" w:line="360" w:lineRule="auto"/>
        <w:ind w:left="0" w:leftChars="0" w:firstLine="0" w:firstLineChars="0"/>
        <w:jc w:val="both"/>
        <w:rPr>
          <w:rFonts w:ascii="仿宋" w:hAnsi="仿宋" w:eastAsia="仿宋"/>
          <w:color w:val="000000"/>
          <w:sz w:val="32"/>
          <w:szCs w:val="32"/>
        </w:rPr>
      </w:pPr>
      <w:r>
        <w:rPr>
          <w:rFonts w:ascii="仿宋" w:hAnsi="仿宋" w:eastAsia="仿宋"/>
          <w:color w:val="000000"/>
          <w:sz w:val="32"/>
          <w:szCs w:val="32"/>
        </w:rPr>
        <w:t>实验室管理制度上墙，如图：</w:t>
      </w:r>
    </w:p>
    <w:p>
      <w:pPr>
        <w:pStyle w:val="2"/>
        <w:rPr>
          <w:rFonts w:hint="eastAsia" w:ascii="仿宋" w:hAnsi="仿宋" w:eastAsia="仿宋"/>
          <w:color w:val="000000"/>
          <w:sz w:val="32"/>
          <w:szCs w:val="32"/>
          <w:lang w:eastAsia="zh-CN"/>
        </w:rPr>
      </w:pPr>
      <w:r>
        <w:rPr>
          <w:rFonts w:ascii="仿宋" w:hAnsi="仿宋" w:eastAsia="仿宋"/>
          <w:color w:val="000000"/>
          <w:sz w:val="32"/>
          <w:szCs w:val="32"/>
        </w:rPr>
        <w:drawing>
          <wp:inline distT="0" distB="0" distL="0" distR="0">
            <wp:extent cx="4829175" cy="31908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829175" cy="3190875"/>
                    </a:xfrm>
                    <a:prstGeom prst="rect">
                      <a:avLst/>
                    </a:prstGeom>
                  </pic:spPr>
                </pic:pic>
              </a:graphicData>
            </a:graphic>
          </wp:inline>
        </w:drawing>
      </w:r>
    </w:p>
    <w:p>
      <w:pPr>
        <w:rPr>
          <w:rFonts w:hint="default"/>
          <w:lang w:val="en-US" w:eastAsia="zh-CN"/>
        </w:rPr>
      </w:pPr>
    </w:p>
    <w:p>
      <w:pPr>
        <w:keepNext w:val="0"/>
        <w:keepLines w:val="0"/>
        <w:pageBreakBefore w:val="0"/>
        <w:widowControl w:val="0"/>
        <w:kinsoku/>
        <w:wordWrap/>
        <w:overflowPunct/>
        <w:topLinePunct w:val="0"/>
        <w:autoSpaceDE/>
        <w:autoSpaceDN/>
        <w:bidi w:val="0"/>
        <w:adjustRightInd/>
        <w:snapToGrid w:val="0"/>
        <w:spacing w:after="313" w:afterLines="100" w:line="15" w:lineRule="atLeast"/>
        <w:ind w:right="0"/>
        <w:jc w:val="both"/>
        <w:textAlignment w:val="auto"/>
        <w:rPr>
          <w:rFonts w:hint="eastAsia" w:ascii="仿宋" w:hAnsi="仿宋" w:eastAsia="仿宋"/>
          <w:color w:val="000000"/>
          <w:sz w:val="32"/>
          <w:szCs w:val="32"/>
          <w:lang w:eastAsia="zh-CN"/>
        </w:rPr>
      </w:pPr>
      <w:r>
        <w:rPr>
          <w:rFonts w:hint="eastAsia" w:ascii="华文中宋" w:hAnsi="华文中宋" w:eastAsia="华文中宋" w:cs="华文中宋"/>
          <w:b/>
          <w:bCs/>
          <w:color w:val="000000"/>
          <w:sz w:val="40"/>
          <w:szCs w:val="40"/>
          <w:lang w:eastAsia="zh-CN"/>
        </w:rPr>
        <w:t>【研究生工作】</w:t>
      </w:r>
    </w:p>
    <w:p>
      <w:pPr>
        <w:pStyle w:val="2"/>
      </w:pPr>
    </w:p>
    <w:sectPr>
      <w:pgSz w:w="11906" w:h="16838"/>
      <w:pgMar w:top="1440" w:right="1800" w:bottom="1440" w:left="28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w:panose1 w:val="05000000000000000000"/>
    <w:charset w:val="00"/>
    <w:family w:val="auto"/>
    <w:pitch w:val="default"/>
    <w:sig w:usb0="00000000" w:usb1="00000000" w:usb2="00000000" w:usb3="00000000" w:csb0="80000000" w:csb1="00000000"/>
  </w:font>
  <w:font w:name="Lucida Sans Unicode">
    <w:panose1 w:val="020B0602030504020204"/>
    <w:charset w:val="00"/>
    <w:family w:val="swiss"/>
    <w:pitch w:val="default"/>
    <w:sig w:usb0="80001AFF" w:usb1="0000396B" w:usb2="00000000" w:usb3="00000000" w:csb0="200000BF" w:csb1="D7F70000"/>
  </w:font>
  <w:font w:name="Cambria">
    <w:panose1 w:val="02040503050406030204"/>
    <w:charset w:val="00"/>
    <w:family w:val="auto"/>
    <w:pitch w:val="default"/>
    <w:sig w:usb0="E00002FF" w:usb1="400004FF" w:usb2="00000000" w:usb3="00000000" w:csb0="2000019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华文楷体">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203774"/>
    <w:multiLevelType w:val="singleLevel"/>
    <w:tmpl w:val="EE203774"/>
    <w:lvl w:ilvl="0" w:tentative="0">
      <w:start w:val="1"/>
      <w:numFmt w:val="bullet"/>
      <w:lvlText w:val=""/>
      <w:lvlJc w:val="left"/>
      <w:pPr>
        <w:ind w:left="420" w:hanging="420"/>
      </w:pPr>
      <w:rPr>
        <w:rFonts w:hint="default" w:ascii="Wingdings" w:hAnsi="Wingdings"/>
        <w:sz w:val="32"/>
        <w:szCs w:val="32"/>
      </w:rPr>
    </w:lvl>
  </w:abstractNum>
  <w:abstractNum w:abstractNumId="1">
    <w:nsid w:val="0053208E"/>
    <w:multiLevelType w:val="singleLevel"/>
    <w:tmpl w:val="0053208E"/>
    <w:lvl w:ilvl="0" w:tentative="0">
      <w:start w:val="1"/>
      <w:numFmt w:val="bullet"/>
      <w:lvlText w:val=""/>
      <w:lvlJc w:val="left"/>
      <w:pPr>
        <w:ind w:left="420" w:hanging="420"/>
      </w:pPr>
      <w:rPr>
        <w:rFonts w:hint="default" w:ascii="Wingdings" w:hAnsi="Wingdings" w:eastAsia="Wingdings"/>
        <w:bCs/>
      </w:rPr>
    </w:lvl>
  </w:abstractNum>
  <w:abstractNum w:abstractNumId="2">
    <w:nsid w:val="42B3B648"/>
    <w:multiLevelType w:val="singleLevel"/>
    <w:tmpl w:val="42B3B648"/>
    <w:lvl w:ilvl="0" w:tentative="0">
      <w:start w:val="1"/>
      <w:numFmt w:val="bullet"/>
      <w:lvlText w:val=""/>
      <w:lvlJc w:val="left"/>
      <w:pPr>
        <w:ind w:left="420" w:hanging="420"/>
      </w:pPr>
      <w:rPr>
        <w:rFonts w:hint="default" w:ascii="Wingdings" w:hAnsi="Wingdings"/>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NkOGY4MTNjNjE2M2Q2NmNkOTVjNTkwOGYwZWRjZTUifQ=="/>
  </w:docVars>
  <w:rsids>
    <w:rsidRoot w:val="66BC6E6D"/>
    <w:rsid w:val="070047B1"/>
    <w:rsid w:val="0B043F8B"/>
    <w:rsid w:val="0F7A534C"/>
    <w:rsid w:val="10FE1FEA"/>
    <w:rsid w:val="11C07F7F"/>
    <w:rsid w:val="1A614E9E"/>
    <w:rsid w:val="1FF335AB"/>
    <w:rsid w:val="22EC43C9"/>
    <w:rsid w:val="2EA25342"/>
    <w:rsid w:val="34437A7B"/>
    <w:rsid w:val="4CBC40C3"/>
    <w:rsid w:val="5B10063D"/>
    <w:rsid w:val="5C5F4137"/>
    <w:rsid w:val="66BC6E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hAnsi="Times New Roman"/>
      <w:szCs w:val="21"/>
    </w:rPr>
  </w:style>
  <w:style w:type="paragraph" w:styleId="3">
    <w:name w:val="Normal Indent"/>
    <w:basedOn w:val="1"/>
    <w:qFormat/>
    <w:uiPriority w:val="0"/>
    <w:pPr>
      <w:adjustRightInd w:val="0"/>
      <w:spacing w:line="360" w:lineRule="auto"/>
      <w:ind w:firstLine="420"/>
      <w:textAlignment w:val="baseline"/>
    </w:pPr>
    <w:rPr>
      <w:rFonts w:ascii="Calibri" w:hAnsi="Calibri" w:eastAsia="宋体" w:cs="Times New Roman"/>
      <w:kern w:val="0"/>
      <w:sz w:val="24"/>
    </w:rPr>
  </w:style>
  <w:style w:type="paragraph" w:styleId="4">
    <w:name w:val="footer"/>
    <w:basedOn w:val="1"/>
    <w:unhideWhenUsed/>
    <w:qFormat/>
    <w:uiPriority w:val="99"/>
    <w:pPr>
      <w:tabs>
        <w:tab w:val="center" w:pos="4153"/>
        <w:tab w:val="right" w:pos="8306"/>
      </w:tabs>
      <w:snapToGrid w:val="0"/>
      <w:jc w:val="left"/>
    </w:pPr>
    <w:rPr>
      <w:sz w:val="18"/>
      <w:szCs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1887</Words>
  <Characters>1982</Characters>
  <Lines>0</Lines>
  <Paragraphs>0</Paragraphs>
  <TotalTime>2</TotalTime>
  <ScaleCrop>false</ScaleCrop>
  <LinksUpToDate>false</LinksUpToDate>
  <CharactersWithSpaces>1984</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2022-04-22T08:58:00Z</dcterms:created>
  <dc:creator>曾华强(19951522)</dc:creator>
  <cp:lastModifiedBy>曾华强</cp:lastModifiedBy>
  <cp:lastPrinted>2022-04-22T09:19:00Z</cp:lastPrinted>
  <dcterms:modified xsi:type="dcterms:W3CDTF">2022-05-20T08:37:14Z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BE1CBAD5CB3F4F43B6FA0A9CCB4D6433</vt:lpwstr>
  </property>
  <property fmtid="{D5CDD505-2E9C-101B-9397-08002B2CF9AE}" pid="4" name="commondata">
    <vt:lpwstr>eyJoZGlkIjoiMWNkOGY4MTNjNjE2M2Q2NmNkOTVjNTkwOGYwZWRjZTUifQ==</vt:lpwstr>
  </property>
</Properties>
</file>