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8620" w:type="dxa"/>
            <w:gridSpan w:val="2"/>
            <w:tcBorders>
              <w:tl2br w:val="nil"/>
              <w:tr2bl w:val="nil"/>
            </w:tcBorders>
            <w:vAlign w:val="top"/>
          </w:tcPr>
          <w:p>
            <w:pPr>
              <w:jc w:val="both"/>
              <w:rPr>
                <w:rFonts w:hint="default" w:eastAsia="等线"/>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56" w:hRule="atLeast"/>
          <w:jc w:val="center"/>
        </w:trPr>
        <w:tc>
          <w:tcPr>
            <w:tcW w:w="8620" w:type="dxa"/>
            <w:gridSpan w:val="2"/>
            <w:tcBorders>
              <w:tl2br w:val="nil"/>
              <w:tr2bl w:val="nil"/>
            </w:tcBorders>
            <w:vAlign w:val="top"/>
          </w:tcPr>
          <w:p>
            <w:pPr>
              <w:jc w:val="center"/>
              <w:rPr>
                <w:rFonts w:hint="default" w:ascii="Calibri Light" w:hAnsi="Calibri Light" w:eastAsia="黑体" w:cs="黑体"/>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13</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4460" w:type="dxa"/>
            <w:tcBorders>
              <w:tl2br w:val="nil"/>
              <w:tr2bl w:val="nil"/>
            </w:tcBorders>
            <w:vAlign w:val="top"/>
          </w:tcPr>
          <w:p>
            <w:pPr>
              <w:ind w:firstLine="320"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1"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2022年 6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24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noFill/>
                              <a:ln w="69850" cap="flat" cmpd="thickThin" algn="ctr">
                                <a:solidFill>
                                  <a:srgbClr val="FF0000"/>
                                </a:solidFill>
                                <a:prstDash val="solid"/>
                                <a:miter lim="800000"/>
                              </a:ln>
                              <a:effectLst/>
                            </wps:spPr>
                            <wps:bodyPr/>
                          </wps:wsp>
                        </a:graphicData>
                      </a:graphic>
                    </wp:anchor>
                  </w:drawing>
                </mc:Choice>
                <mc:Fallback>
                  <w:pict>
                    <v:line id="直接连接符 1" o:spid="_x0000_s1026" o:spt="20" style="position:absolute;left:0pt;margin-left:-1.2pt;margin-top:1.85pt;height:2.25pt;width:429.75pt;z-index:251660288;mso-width-relative:page;mso-height-relative:page;" filled="f" stroked="t" coordsize="21600,21600" o:gfxdata="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Qm6dk1AAAAAYBAAAPAAAA&#10;AAAAAAEAIAAAADgAAABkcnMvZG93bnJldi54bWxQSwECFAAUAAAACACHTuJA8Ytg8wMCAADWAwAA&#10;DgAAAAAAAAABACAAAAA5AQAAZHJzL2Uyb0RvYy54bWxQSwUGAAAAAAYABgBZAQAArgUAAAAA&#10;">
                      <v:fill on="f" focussize="0,0"/>
                      <v:stroke weight="5.5pt" color="#FF0000"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配合学校每天做好重点区域旅居史排查工作、及时报送相关师生数据，改进学生每日健康打卡督促方式，保证健康打卡率100%，实时关注各年级学生健康情况。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lang w:eastAsia="zh-CN"/>
        </w:rPr>
        <w:t>按照学校疫情防控的要求，督促学院教职工至少每周一次核酸检测，并做好登记和报备工作</w:t>
      </w:r>
      <w:r>
        <w:rPr>
          <w:rFonts w:ascii="仿宋" w:hAnsi="仿宋" w:eastAsia="仿宋"/>
          <w:color w:val="000000"/>
          <w:sz w:val="32"/>
          <w:szCs w:val="32"/>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val="en-US" w:eastAsia="zh-CN"/>
        </w:rPr>
        <w:t>6月21日，学院召开</w:t>
      </w:r>
      <w:r>
        <w:rPr>
          <w:rFonts w:hint="eastAsia" w:ascii="仿宋" w:hAnsi="仿宋" w:eastAsia="仿宋"/>
          <w:b/>
          <w:bCs/>
          <w:color w:val="000000"/>
          <w:sz w:val="32"/>
          <w:szCs w:val="32"/>
          <w:lang w:val="en-US" w:eastAsia="zh-CN"/>
        </w:rPr>
        <w:t>党委会扩大会议</w:t>
      </w:r>
      <w:r>
        <w:rPr>
          <w:rFonts w:hint="eastAsia" w:ascii="仿宋" w:hAnsi="仿宋" w:eastAsia="仿宋"/>
          <w:color w:val="000000"/>
          <w:sz w:val="32"/>
          <w:szCs w:val="32"/>
          <w:lang w:val="en-US" w:eastAsia="zh-CN"/>
        </w:rPr>
        <w:t>：一、学习习近平总书记在宜宾学院的重要讲话和精神；二、传达学校基层党委书记会议精神；三、讨论2022届毕业生就业工作推进情况（由各支部书记或系主任做相关情况汇报）。</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0" w:leftChars="0" w:firstLine="421" w:firstLineChars="13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成功承办城市文化历史的传承与活化研讨会</w:t>
      </w:r>
      <w:r>
        <w:rPr>
          <w:rFonts w:hint="default" w:ascii="仿宋_GB2312" w:hAnsi="仿宋_GB2312" w:eastAsia="仿宋_GB2312" w:cs="仿宋_GB2312"/>
          <w:b/>
          <w:bCs/>
          <w:sz w:val="32"/>
          <w:szCs w:val="32"/>
        </w:rPr>
        <w:t>。</w:t>
      </w:r>
      <w:r>
        <w:rPr>
          <w:rFonts w:hint="eastAsia" w:ascii="仿宋_GB2312" w:hAnsi="仿宋_GB2312" w:eastAsia="仿宋_GB2312" w:cs="仿宋_GB2312"/>
          <w:sz w:val="32"/>
          <w:szCs w:val="32"/>
        </w:rPr>
        <w:t>6月18日，由广东财经大学公共管理学院、华南商业史研究中心及广州炎黄文化研究会承办的学术研讨会“城市文化历史的传承与活化”在广州校区北二642顺利举行。此次研讨会是由广州市社科联举办的第十三届广州学术季“老城市.新活力”系列研讨会之一，邀请了广州市社科联、广州炎黄文化研究会相关领导及省内各高校专家学者共同参与。在开场的致辞中，广州市社科联市管一级调研员李伟表示，本次研讨会就是“立时代之潮头、通古今之变、发思想之先声”，深入挖掘广州“老”与“新”的丰富内涵，探讨广州“古”与“今”的恒久魅力，让优秀传统文化与现代都市文化交相辉映。随后，广东财经大学公共管理学院副院长姚军对到场的各位领导、专家和学者表示了热烈的欢迎，希望在此次会议中，通过各位学者的努力，能够深入挖掘城市传统历史文化，提炼文化精神、凝聚文化力量，在新时期城市文明传承和城市发展规划融合方面做出新的探索和贡献。</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420" w:leftChars="0"/>
        <w:jc w:val="center"/>
        <w:textAlignment w:val="auto"/>
        <w:rPr>
          <w:rFonts w:hint="eastAsia" w:ascii="仿宋" w:hAnsi="仿宋" w:eastAsia="仿宋"/>
          <w:color w:val="000000"/>
          <w:sz w:val="32"/>
          <w:szCs w:val="32"/>
          <w:lang w:val="en-US" w:eastAsia="zh-CN"/>
        </w:rPr>
      </w:pPr>
      <w:r>
        <w:rPr>
          <w:rFonts w:hint="eastAsia" w:hAnsi="宋体" w:eastAsia="宋体" w:cs="宋体"/>
          <w:sz w:val="24"/>
          <w:lang w:eastAsia="zh-CN"/>
        </w:rPr>
        <w:drawing>
          <wp:inline distT="0" distB="0" distL="114300" distR="114300">
            <wp:extent cx="4728845" cy="2945765"/>
            <wp:effectExtent l="0" t="0" r="20955" b="635"/>
            <wp:docPr id="9" name="图片 1" descr="微信图片_2022062015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20620154823"/>
                    <pic:cNvPicPr>
                      <a:picLocks noChangeAspect="1"/>
                    </pic:cNvPicPr>
                  </pic:nvPicPr>
                  <pic:blipFill>
                    <a:blip r:embed="rId5"/>
                    <a:stretch>
                      <a:fillRect/>
                    </a:stretch>
                  </pic:blipFill>
                  <pic:spPr>
                    <a:xfrm>
                      <a:off x="0" y="0"/>
                      <a:ext cx="4728845" cy="294576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做好教务处关于组织</w:t>
      </w:r>
      <w:r>
        <w:rPr>
          <w:rFonts w:hint="eastAsia" w:ascii="仿宋" w:hAnsi="仿宋" w:eastAsia="仿宋"/>
          <w:b/>
          <w:bCs/>
          <w:color w:val="000000"/>
          <w:sz w:val="32"/>
          <w:szCs w:val="32"/>
          <w:lang w:val="en-US" w:eastAsia="zh-CN"/>
        </w:rPr>
        <w:t>开展教材插图排查</w:t>
      </w:r>
      <w:r>
        <w:rPr>
          <w:rFonts w:hint="eastAsia" w:ascii="仿宋" w:hAnsi="仿宋" w:eastAsia="仿宋"/>
          <w:color w:val="000000"/>
          <w:sz w:val="32"/>
          <w:szCs w:val="32"/>
          <w:lang w:val="en-US" w:eastAsia="zh-CN"/>
        </w:rPr>
        <w:t>通知的相关工作和2021—2022学年度本科教育教学奖励申报工作。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核实本学期广州、三水校区教师工作量。</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做好人才培养方案二次审核上报工作和下学期教材选用和审核工作。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完成</w:t>
      </w:r>
      <w:r>
        <w:rPr>
          <w:rFonts w:hint="eastAsia" w:ascii="仿宋" w:hAnsi="仿宋" w:eastAsia="仿宋"/>
          <w:b/>
          <w:bCs/>
          <w:color w:val="000000"/>
          <w:sz w:val="32"/>
          <w:szCs w:val="32"/>
          <w:lang w:val="en-US" w:eastAsia="zh-CN"/>
        </w:rPr>
        <w:t>第三轮学生选课</w:t>
      </w:r>
      <w:r>
        <w:rPr>
          <w:rFonts w:hint="eastAsia" w:ascii="仿宋" w:hAnsi="仿宋" w:eastAsia="仿宋"/>
          <w:color w:val="000000"/>
          <w:sz w:val="32"/>
          <w:szCs w:val="32"/>
          <w:lang w:val="en-US" w:eastAsia="zh-CN"/>
        </w:rPr>
        <w:t>相关工作。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组织并完成2021-2022</w:t>
      </w:r>
      <w:r>
        <w:rPr>
          <w:rFonts w:hint="default" w:ascii="仿宋" w:hAnsi="仿宋" w:eastAsia="仿宋"/>
          <w:color w:val="000000"/>
          <w:sz w:val="32"/>
          <w:szCs w:val="32"/>
          <w:lang w:eastAsia="zh-CN"/>
        </w:rPr>
        <w:t>（</w:t>
      </w:r>
      <w:r>
        <w:rPr>
          <w:rFonts w:hint="eastAsia" w:ascii="仿宋" w:hAnsi="仿宋" w:eastAsia="仿宋"/>
          <w:color w:val="000000"/>
          <w:sz w:val="32"/>
          <w:szCs w:val="32"/>
          <w:lang w:val="en-US" w:eastAsia="zh-CN"/>
        </w:rPr>
        <w:t>2</w:t>
      </w:r>
      <w:r>
        <w:rPr>
          <w:rFonts w:hint="default" w:ascii="仿宋" w:hAnsi="仿宋" w:eastAsia="仿宋"/>
          <w:color w:val="000000"/>
          <w:sz w:val="32"/>
          <w:szCs w:val="32"/>
          <w:lang w:eastAsia="zh-CN"/>
        </w:rPr>
        <w:t>）</w:t>
      </w:r>
      <w:r>
        <w:rPr>
          <w:rFonts w:hint="eastAsia" w:ascii="仿宋" w:hAnsi="仿宋" w:eastAsia="仿宋"/>
          <w:color w:val="000000"/>
          <w:sz w:val="32"/>
          <w:szCs w:val="32"/>
          <w:lang w:val="en-US" w:eastAsia="zh-CN"/>
        </w:rPr>
        <w:t>学期广州、佛山校区期末考试分卷工作，落实期末考试巡考、监考任务安排。</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组织做好2022届夏季第一批毕业生的毕业证、学位证发放工作。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完成2022届本科优秀毕业论文归档材料移交至学校综合档案室的工作。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i w:val="0"/>
          <w:strike w:val="0"/>
          <w:color w:val="000000"/>
          <w:sz w:val="24"/>
          <w:u w:val="none"/>
        </w:rPr>
      </w:pPr>
      <w:r>
        <w:rPr>
          <w:rFonts w:hint="eastAsia" w:ascii="仿宋_GB2312" w:hAnsi="仿宋_GB2312" w:eastAsia="仿宋_GB2312" w:cs="仿宋_GB2312"/>
          <w:i w:val="0"/>
          <w:strike w:val="0"/>
          <w:color w:val="000000"/>
          <w:sz w:val="32"/>
          <w:szCs w:val="32"/>
          <w:u w:val="none"/>
        </w:rPr>
        <w:t>为提高学生毕业论文质量，城市管理系于2022年6月23日在北二</w:t>
      </w:r>
      <w:r>
        <w:rPr>
          <w:rFonts w:hint="eastAsia" w:ascii="仿宋_GB2312" w:hAnsi="仿宋_GB2312" w:eastAsia="仿宋_GB2312" w:cs="仿宋_GB2312"/>
          <w:i w:val="0"/>
          <w:strike w:val="0"/>
          <w:color w:val="000000"/>
          <w:sz w:val="32"/>
          <w:szCs w:val="32"/>
          <w:u w:val="none"/>
          <w:lang w:val="en-US" w:eastAsia="zh-CN"/>
        </w:rPr>
        <w:t>-</w:t>
      </w:r>
      <w:r>
        <w:rPr>
          <w:rFonts w:hint="eastAsia" w:ascii="仿宋_GB2312" w:hAnsi="仿宋_GB2312" w:eastAsia="仿宋_GB2312" w:cs="仿宋_GB2312"/>
          <w:i w:val="0"/>
          <w:strike w:val="0"/>
          <w:color w:val="000000"/>
          <w:sz w:val="32"/>
          <w:szCs w:val="32"/>
          <w:u w:val="none"/>
        </w:rPr>
        <w:t>636</w:t>
      </w:r>
      <w:r>
        <w:rPr>
          <w:rFonts w:hint="eastAsia" w:ascii="仿宋_GB2312" w:hAnsi="仿宋_GB2312" w:eastAsia="仿宋_GB2312" w:cs="仿宋_GB2312"/>
          <w:i w:val="0"/>
          <w:strike w:val="0"/>
          <w:color w:val="000000"/>
          <w:sz w:val="32"/>
          <w:szCs w:val="32"/>
          <w:u w:val="none"/>
          <w:lang w:eastAsia="zh-CN"/>
        </w:rPr>
        <w:t>多功能报告厅</w:t>
      </w:r>
      <w:r>
        <w:rPr>
          <w:rFonts w:hint="eastAsia" w:ascii="仿宋_GB2312" w:hAnsi="仿宋_GB2312" w:eastAsia="仿宋_GB2312" w:cs="仿宋_GB2312"/>
          <w:i w:val="0"/>
          <w:strike w:val="0"/>
          <w:color w:val="000000"/>
          <w:sz w:val="32"/>
          <w:szCs w:val="32"/>
          <w:u w:val="none"/>
        </w:rPr>
        <w:t>举办2019级公共事业管理本科生</w:t>
      </w:r>
      <w:r>
        <w:rPr>
          <w:rFonts w:hint="eastAsia" w:ascii="仿宋_GB2312" w:hAnsi="仿宋_GB2312" w:eastAsia="仿宋_GB2312" w:cs="仿宋_GB2312"/>
          <w:b/>
          <w:bCs/>
          <w:i w:val="0"/>
          <w:strike w:val="0"/>
          <w:color w:val="000000"/>
          <w:sz w:val="32"/>
          <w:szCs w:val="32"/>
          <w:u w:val="none"/>
        </w:rPr>
        <w:t>毕业论文指导会</w:t>
      </w:r>
      <w:r>
        <w:rPr>
          <w:rFonts w:hint="default" w:ascii="仿宋_GB2312" w:hAnsi="仿宋_GB2312" w:eastAsia="仿宋_GB2312" w:cs="仿宋_GB2312"/>
          <w:b/>
          <w:bCs/>
          <w:i w:val="0"/>
          <w:strike w:val="0"/>
          <w:color w:val="000000"/>
          <w:sz w:val="32"/>
          <w:szCs w:val="32"/>
          <w:u w:val="none"/>
        </w:rPr>
        <w:t>。</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ascii="宋体" w:hAnsi="宋体" w:eastAsia="宋体" w:cs="宋体"/>
          <w:i w:val="0"/>
          <w:strike w:val="0"/>
          <w:color w:val="000000"/>
          <w:sz w:val="24"/>
          <w:u w:val="none"/>
        </w:rPr>
      </w:pPr>
      <w:r>
        <w:rPr>
          <w:rFonts w:ascii="宋体" w:hAnsi="宋体" w:eastAsia="宋体" w:cs="宋体"/>
          <w:i w:val="0"/>
          <w:strike w:val="0"/>
          <w:color w:val="000000"/>
          <w:sz w:val="24"/>
          <w:u w:val="none"/>
        </w:rPr>
        <w:drawing>
          <wp:inline distT="0" distB="0" distL="0" distR="0">
            <wp:extent cx="5274310" cy="3237230"/>
            <wp:effectExtent l="0" t="0" r="2540" b="1270"/>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6"/>
                    <a:stretch>
                      <a:fillRect/>
                    </a:stretch>
                  </pic:blipFill>
                  <pic:spPr>
                    <a:xfrm>
                      <a:off x="0" y="0"/>
                      <a:ext cx="5274310" cy="323723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_GB2312" w:hAnsi="仿宋_GB2312" w:eastAsia="仿宋_GB2312" w:cs="仿宋_GB2312"/>
          <w:b w:val="0"/>
          <w:i w:val="0"/>
          <w:strike w:val="0"/>
          <w:spacing w:val="0"/>
          <w:sz w:val="32"/>
          <w:szCs w:val="32"/>
          <w:u w:val="none"/>
        </w:rPr>
        <w:t>撰写《广东财经大学教学型实验室考核评估自评报告》及收集相关的佐证材料。</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numPr>
          <w:ilvl w:val="0"/>
          <w:numId w:val="3"/>
        </w:numPr>
        <w:ind w:left="0" w:leftChars="0" w:firstLine="419" w:firstLineChars="131"/>
        <w:rPr>
          <w:rFonts w:hint="eastAsia" w:ascii="仿宋_GB2312" w:hAnsi="仿宋_GB2312" w:eastAsia="仿宋_GB2312" w:cs="仿宋_GB2312"/>
          <w:b w:val="0"/>
          <w:i w:val="0"/>
          <w:strike w:val="0"/>
          <w:spacing w:val="0"/>
          <w:sz w:val="32"/>
          <w:szCs w:val="32"/>
          <w:u w:val="none"/>
        </w:rPr>
      </w:pPr>
      <w:r>
        <w:rPr>
          <w:rFonts w:hint="eastAsia" w:ascii="仿宋_GB2312" w:hAnsi="仿宋_GB2312" w:eastAsia="仿宋_GB2312" w:cs="仿宋_GB2312"/>
          <w:b w:val="0"/>
          <w:i w:val="0"/>
          <w:strike w:val="0"/>
          <w:spacing w:val="0"/>
          <w:sz w:val="32"/>
          <w:szCs w:val="32"/>
          <w:u w:val="none"/>
        </w:rPr>
        <w:t>6月21日，土地与房地产管理系组</w:t>
      </w:r>
      <w:r>
        <w:rPr>
          <w:rFonts w:hint="eastAsia" w:ascii="仿宋_GB2312" w:hAnsi="仿宋_GB2312" w:eastAsia="仿宋_GB2312" w:cs="仿宋_GB2312"/>
          <w:b/>
          <w:bCs/>
          <w:i w:val="0"/>
          <w:strike w:val="0"/>
          <w:spacing w:val="0"/>
          <w:sz w:val="32"/>
          <w:szCs w:val="32"/>
          <w:u w:val="none"/>
        </w:rPr>
        <w:t>全国大学生土地国情调查大赛校内初评</w:t>
      </w:r>
      <w:r>
        <w:rPr>
          <w:rFonts w:hint="eastAsia" w:ascii="仿宋_GB2312" w:hAnsi="仿宋_GB2312" w:eastAsia="仿宋_GB2312" w:cs="仿宋_GB2312"/>
          <w:b w:val="0"/>
          <w:i w:val="0"/>
          <w:strike w:val="0"/>
          <w:spacing w:val="0"/>
          <w:sz w:val="32"/>
          <w:szCs w:val="32"/>
          <w:u w:val="none"/>
        </w:rPr>
        <w:t>。经学生申报、资料审核、作品盲评等环节，《家庭禀赋视角下农户土地流转行为响应及作用机理研究》、《“三权分置”视角下农户宅基地流转影响机制及协同治理研究》、《农户种粮意愿与行为悖离的发生机制及补偿政策优化-基于SES和TPB框架的多群组分析》三项作品获参赛推荐资格。</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6月23日上午，</w:t>
      </w:r>
      <w:r>
        <w:rPr>
          <w:rFonts w:hint="eastAsia" w:ascii="仿宋" w:hAnsi="仿宋" w:eastAsia="仿宋"/>
          <w:b/>
          <w:bCs/>
          <w:color w:val="000000"/>
          <w:sz w:val="32"/>
          <w:szCs w:val="32"/>
          <w:lang w:eastAsia="zh-CN"/>
        </w:rPr>
        <w:t>城市管理系2022届公共事业管理专业毕业生座谈会</w:t>
      </w:r>
      <w:r>
        <w:rPr>
          <w:rFonts w:hint="eastAsia" w:ascii="仿宋" w:hAnsi="仿宋" w:eastAsia="仿宋"/>
          <w:color w:val="000000"/>
          <w:sz w:val="32"/>
          <w:szCs w:val="32"/>
          <w:lang w:eastAsia="zh-CN"/>
        </w:rPr>
        <w:t>在北二636举行。公共管理学院副院长（主持行政工作）姚军、城市管理系系主任王妙妙、龙国智副教授、王昶博士、沈鑫博士等老师出席座谈会，与20多名毕业生代表回忆过去四年的点点滴滴，共话未来。会上，毕业生代表踊跃发言，分享了在广财大四年的所获所感，表达了对母校的教育培养和感恩之心。同时，姚军建议同学们要勇敢追梦，活出自己的精彩，做新时代的奋斗者，肩负起中华民族伟大复兴的历史使命，早日成为广财大的杰出校友。</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3453130"/>
            <wp:effectExtent l="0" t="0" r="2540" b="1397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7"/>
                    <a:stretch>
                      <a:fillRect/>
                    </a:stretch>
                  </pic:blipFill>
                  <pic:spPr>
                    <a:xfrm>
                      <a:off x="0" y="0"/>
                      <a:ext cx="5274310" cy="345313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left"/>
        <w:textAlignment w:val="auto"/>
        <w:rPr>
          <w:rFonts w:hint="eastAsia" w:ascii="仿宋" w:hAnsi="仿宋" w:eastAsia="仿宋"/>
          <w:color w:val="000000"/>
          <w:sz w:val="32"/>
          <w:szCs w:val="32"/>
          <w:lang w:eastAsia="zh-CN"/>
        </w:rPr>
      </w:pPr>
      <w:r>
        <w:rPr>
          <w:rFonts w:hint="eastAsia" w:ascii="仿宋_GB2312" w:hAnsi="仿宋_GB2312" w:eastAsia="仿宋_GB2312" w:cs="仿宋_GB2312"/>
          <w:b w:val="0"/>
          <w:i w:val="0"/>
          <w:strike w:val="0"/>
          <w:spacing w:val="0"/>
          <w:sz w:val="32"/>
          <w:u w:val="none"/>
        </w:rPr>
        <w:t>6月23日，</w:t>
      </w:r>
      <w:r>
        <w:rPr>
          <w:rFonts w:hint="eastAsia" w:ascii="仿宋_GB2312" w:hAnsi="仿宋_GB2312" w:eastAsia="仿宋_GB2312" w:cs="仿宋_GB2312"/>
          <w:b/>
          <w:bCs/>
          <w:i w:val="0"/>
          <w:strike w:val="0"/>
          <w:spacing w:val="0"/>
          <w:sz w:val="32"/>
          <w:u w:val="none"/>
        </w:rPr>
        <w:t>行政管理系2022届专业毕业生</w:t>
      </w:r>
      <w:r>
        <w:rPr>
          <w:rFonts w:hint="eastAsia" w:ascii="仿宋_GB2312" w:hAnsi="仿宋_GB2312" w:eastAsia="仿宋_GB2312" w:cs="仿宋_GB2312"/>
          <w:b/>
          <w:bCs/>
          <w:i w:val="0"/>
          <w:strike w:val="0"/>
          <w:spacing w:val="0"/>
          <w:sz w:val="32"/>
          <w:u w:val="none"/>
          <w:lang w:eastAsia="zh-CN"/>
        </w:rPr>
        <w:t>座谈</w:t>
      </w:r>
      <w:r>
        <w:rPr>
          <w:rFonts w:hint="eastAsia" w:ascii="仿宋_GB2312" w:hAnsi="仿宋_GB2312" w:eastAsia="仿宋_GB2312" w:cs="仿宋_GB2312"/>
          <w:b/>
          <w:bCs/>
          <w:i w:val="0"/>
          <w:strike w:val="0"/>
          <w:spacing w:val="0"/>
          <w:sz w:val="32"/>
          <w:u w:val="none"/>
        </w:rPr>
        <w:t>会</w:t>
      </w:r>
      <w:r>
        <w:rPr>
          <w:rFonts w:hint="eastAsia" w:ascii="仿宋_GB2312" w:hAnsi="仿宋_GB2312" w:eastAsia="仿宋_GB2312" w:cs="仿宋_GB2312"/>
          <w:b w:val="0"/>
          <w:i w:val="0"/>
          <w:strike w:val="0"/>
          <w:spacing w:val="0"/>
          <w:sz w:val="32"/>
          <w:u w:val="none"/>
        </w:rPr>
        <w:t>在北二642举行。公共管理学院副院长（主持行政工作）姚军、公共管理学院副院长戴昌桥、熊枫教授、袁立超博士等老师出席座谈会，与毕业生代表亲切交流</w:t>
      </w:r>
      <w:r>
        <w:rPr>
          <w:rFonts w:hint="eastAsia" w:ascii="仿宋_GB2312" w:hAnsi="仿宋_GB2312" w:eastAsia="仿宋_GB2312" w:cs="仿宋_GB2312"/>
          <w:color w:val="000000"/>
          <w:sz w:val="32"/>
          <w:szCs w:val="32"/>
          <w:lang w:eastAsia="zh-CN"/>
        </w:rPr>
        <w:t>。</w:t>
      </w:r>
      <w:r>
        <w:rPr>
          <w:rFonts w:hint="eastAsia" w:ascii="仿宋" w:hAnsi="仿宋" w:eastAsia="仿宋"/>
          <w:color w:val="000000"/>
          <w:sz w:val="32"/>
          <w:szCs w:val="32"/>
          <w:lang w:eastAsia="zh-CN"/>
        </w:rPr>
        <w:drawing>
          <wp:inline distT="0" distB="0" distL="0" distR="0">
            <wp:extent cx="4919980" cy="2674620"/>
            <wp:effectExtent l="0" t="0" r="13970" b="1143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8"/>
                    <a:stretch>
                      <a:fillRect/>
                    </a:stretch>
                  </pic:blipFill>
                  <pic:spPr>
                    <a:xfrm>
                      <a:off x="0" y="0"/>
                      <a:ext cx="4919980" cy="267462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val="0"/>
          <w:i w:val="0"/>
          <w:strike w:val="0"/>
          <w:spacing w:val="0"/>
          <w:sz w:val="32"/>
          <w:u w:val="none"/>
        </w:rPr>
        <w:t>6月23日中午，</w:t>
      </w:r>
      <w:r>
        <w:rPr>
          <w:rFonts w:hint="eastAsia" w:ascii="仿宋_GB2312" w:hAnsi="仿宋_GB2312" w:eastAsia="仿宋_GB2312" w:cs="仿宋_GB2312"/>
          <w:b/>
          <w:bCs/>
          <w:i w:val="0"/>
          <w:strike w:val="0"/>
          <w:spacing w:val="0"/>
          <w:sz w:val="32"/>
          <w:u w:val="none"/>
        </w:rPr>
        <w:t>土地与房地产管理系2022届毕业生</w:t>
      </w:r>
      <w:r>
        <w:rPr>
          <w:rFonts w:hint="eastAsia" w:ascii="仿宋_GB2312" w:hAnsi="仿宋_GB2312" w:eastAsia="仿宋_GB2312" w:cs="仿宋_GB2312"/>
          <w:b/>
          <w:bCs/>
          <w:i w:val="0"/>
          <w:strike w:val="0"/>
          <w:spacing w:val="0"/>
          <w:sz w:val="32"/>
          <w:u w:val="none"/>
          <w:lang w:eastAsia="zh-CN"/>
        </w:rPr>
        <w:t>座谈</w:t>
      </w:r>
      <w:r>
        <w:rPr>
          <w:rFonts w:hint="eastAsia" w:ascii="仿宋_GB2312" w:hAnsi="仿宋_GB2312" w:eastAsia="仿宋_GB2312" w:cs="仿宋_GB2312"/>
          <w:b/>
          <w:bCs/>
          <w:i w:val="0"/>
          <w:strike w:val="0"/>
          <w:spacing w:val="0"/>
          <w:sz w:val="32"/>
          <w:u w:val="none"/>
        </w:rPr>
        <w:t>会</w:t>
      </w:r>
      <w:r>
        <w:rPr>
          <w:rFonts w:hint="eastAsia" w:ascii="仿宋_GB2312" w:hAnsi="仿宋_GB2312" w:eastAsia="仿宋_GB2312" w:cs="仿宋_GB2312"/>
          <w:b w:val="0"/>
          <w:i w:val="0"/>
          <w:strike w:val="0"/>
          <w:spacing w:val="0"/>
          <w:sz w:val="32"/>
          <w:u w:val="none"/>
        </w:rPr>
        <w:t>在实验楼204举行。土地与房地产管理系主任朱孟珏、副主任杨蕾、文继群、赖怡琳等老师出席座谈会，与土地资源管理专业、房地产开发与管理专业10余名毕业生代表亲切交流。</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hint="eastAsia" w:ascii="仿宋_GB2312" w:hAnsi="仿宋_GB2312" w:eastAsia="仿宋_GB2312" w:cs="仿宋_GB2312"/>
          <w:b w:val="0"/>
          <w:i w:val="0"/>
          <w:strike w:val="0"/>
          <w:spacing w:val="0"/>
          <w:sz w:val="32"/>
          <w:szCs w:val="32"/>
          <w:u w:val="none"/>
        </w:rPr>
      </w:pPr>
      <w:r>
        <w:rPr>
          <w:rFonts w:hint="eastAsia" w:ascii="仿宋" w:hAnsi="仿宋" w:eastAsia="仿宋"/>
          <w:color w:val="000000"/>
          <w:sz w:val="32"/>
          <w:szCs w:val="32"/>
          <w:lang w:eastAsia="zh-CN"/>
        </w:rPr>
        <w:drawing>
          <wp:inline distT="0" distB="0" distL="0" distR="0">
            <wp:extent cx="5274310" cy="2779395"/>
            <wp:effectExtent l="0" t="0" r="2540" b="19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9"/>
                    <a:stretch>
                      <a:fillRect/>
                    </a:stretch>
                  </pic:blipFill>
                  <pic:spPr>
                    <a:xfrm>
                      <a:off x="0" y="0"/>
                      <a:ext cx="5274310" cy="2779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right="0" w:rightChars="0" w:hanging="420" w:firstLineChars="0"/>
        <w:jc w:val="both"/>
        <w:textAlignment w:val="auto"/>
        <w:rPr>
          <w:rFonts w:hint="eastAsia" w:ascii="仿宋_GB2312" w:hAnsi="仿宋_GB2312" w:eastAsia="仿宋_GB2312" w:cs="仿宋_GB2312"/>
          <w:b w:val="0"/>
          <w:bCs/>
          <w:sz w:val="32"/>
          <w:szCs w:val="32"/>
          <w:lang w:val="en-US" w:eastAsia="zh-Hans"/>
        </w:rPr>
      </w:pPr>
      <w:r>
        <w:rPr>
          <w:rFonts w:hint="eastAsia" w:ascii="仿宋_GB2312" w:hAnsi="仿宋_GB2312" w:eastAsia="仿宋_GB2312" w:cs="仿宋_GB2312"/>
          <w:b w:val="0"/>
          <w:bCs/>
          <w:sz w:val="32"/>
          <w:szCs w:val="32"/>
          <w:lang w:val="en-US" w:eastAsia="zh-CN"/>
        </w:rPr>
        <w:t>6月18日，</w:t>
      </w:r>
      <w:r>
        <w:rPr>
          <w:rFonts w:hint="eastAsia" w:ascii="仿宋_GB2312" w:hAnsi="仿宋_GB2312" w:eastAsia="仿宋_GB2312" w:cs="仿宋_GB2312"/>
          <w:b w:val="0"/>
          <w:bCs/>
          <w:sz w:val="32"/>
          <w:szCs w:val="32"/>
          <w:lang w:val="en-US" w:eastAsia="zh-Hans"/>
        </w:rPr>
        <w:t>根据副校长丁友刚的指示</w:t>
      </w:r>
      <w:r>
        <w:rPr>
          <w:rFonts w:hint="default" w:ascii="仿宋_GB2312" w:hAnsi="仿宋_GB2312" w:eastAsia="仿宋_GB2312" w:cs="仿宋_GB2312"/>
          <w:b w:val="0"/>
          <w:bCs/>
          <w:sz w:val="32"/>
          <w:szCs w:val="32"/>
          <w:lang w:eastAsia="zh-Hans"/>
        </w:rPr>
        <w:t>，</w:t>
      </w:r>
      <w:r>
        <w:rPr>
          <w:rFonts w:hint="eastAsia" w:ascii="仿宋_GB2312" w:hAnsi="仿宋_GB2312" w:eastAsia="仿宋_GB2312" w:cs="仿宋_GB2312"/>
          <w:b w:val="0"/>
          <w:bCs/>
          <w:sz w:val="32"/>
          <w:szCs w:val="32"/>
          <w:lang w:val="en-US" w:eastAsia="zh-Hans"/>
        </w:rPr>
        <w:t>我院积极与中海地产接洽</w:t>
      </w:r>
      <w:r>
        <w:rPr>
          <w:rFonts w:hint="default" w:ascii="仿宋_GB2312" w:hAnsi="仿宋_GB2312" w:eastAsia="仿宋_GB2312" w:cs="仿宋_GB2312"/>
          <w:b w:val="0"/>
          <w:bCs/>
          <w:sz w:val="32"/>
          <w:szCs w:val="32"/>
          <w:lang w:eastAsia="zh-Hans"/>
        </w:rPr>
        <w:t>，</w:t>
      </w:r>
      <w:r>
        <w:rPr>
          <w:rFonts w:hint="eastAsia" w:ascii="仿宋_GB2312" w:hAnsi="仿宋_GB2312" w:eastAsia="仿宋_GB2312" w:cs="仿宋_GB2312"/>
          <w:b w:val="0"/>
          <w:bCs/>
          <w:sz w:val="32"/>
          <w:szCs w:val="32"/>
          <w:lang w:val="en-US" w:eastAsia="zh-Hans"/>
        </w:rPr>
        <w:t>建立协商沟通机制</w:t>
      </w:r>
      <w:r>
        <w:rPr>
          <w:rFonts w:hint="default" w:ascii="仿宋_GB2312" w:hAnsi="仿宋_GB2312" w:eastAsia="仿宋_GB2312" w:cs="仿宋_GB2312"/>
          <w:b w:val="0"/>
          <w:bCs/>
          <w:sz w:val="32"/>
          <w:szCs w:val="32"/>
          <w:lang w:eastAsia="zh-Hans"/>
        </w:rPr>
        <w:t>，</w:t>
      </w:r>
      <w:r>
        <w:rPr>
          <w:rFonts w:hint="eastAsia" w:ascii="仿宋_GB2312" w:hAnsi="仿宋_GB2312" w:eastAsia="仿宋_GB2312" w:cs="仿宋_GB2312"/>
          <w:b w:val="0"/>
          <w:bCs/>
          <w:sz w:val="32"/>
          <w:szCs w:val="32"/>
          <w:lang w:val="en-US" w:eastAsia="zh-Hans"/>
        </w:rPr>
        <w:t>拟升华与中海地产的合作</w:t>
      </w:r>
      <w:r>
        <w:rPr>
          <w:rFonts w:hint="default" w:ascii="仿宋_GB2312" w:hAnsi="仿宋_GB2312" w:eastAsia="仿宋_GB2312" w:cs="仿宋_GB2312"/>
          <w:b w:val="0"/>
          <w:bCs/>
          <w:sz w:val="32"/>
          <w:szCs w:val="32"/>
          <w:lang w:eastAsia="zh-Hans"/>
        </w:rPr>
        <w:t>，</w:t>
      </w:r>
      <w:r>
        <w:rPr>
          <w:rFonts w:hint="eastAsia" w:ascii="仿宋_GB2312" w:hAnsi="仿宋_GB2312" w:eastAsia="仿宋_GB2312" w:cs="仿宋_GB2312"/>
          <w:b w:val="0"/>
          <w:bCs/>
          <w:sz w:val="32"/>
          <w:szCs w:val="32"/>
          <w:lang w:val="en-US" w:eastAsia="zh-Hans"/>
        </w:rPr>
        <w:t>推动“广东财经大学</w:t>
      </w:r>
      <w:r>
        <w:rPr>
          <w:rFonts w:hint="eastAsia" w:ascii="仿宋_GB2312" w:hAnsi="仿宋_GB2312" w:eastAsia="仿宋_GB2312" w:cs="仿宋_GB2312"/>
          <w:b w:val="0"/>
          <w:bCs/>
          <w:sz w:val="32"/>
          <w:szCs w:val="32"/>
          <w:lang w:val="en-US" w:eastAsia="zh-CN"/>
        </w:rPr>
        <w:t>与中海地产（广州公司）</w:t>
      </w:r>
      <w:r>
        <w:rPr>
          <w:rFonts w:hint="eastAsia" w:ascii="仿宋_GB2312" w:hAnsi="仿宋_GB2312" w:eastAsia="仿宋_GB2312" w:cs="仿宋_GB2312"/>
          <w:b w:val="0"/>
          <w:bCs/>
          <w:sz w:val="32"/>
          <w:szCs w:val="32"/>
          <w:lang w:val="en-US" w:eastAsia="zh-Hans"/>
        </w:rPr>
        <w:t>校企战略合作框架协议”的签订。</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numPr>
          <w:ilvl w:val="0"/>
          <w:numId w:val="4"/>
        </w:numPr>
        <w:spacing w:before="0" w:after="0"/>
        <w:ind w:left="0" w:leftChars="0" w:firstLine="419" w:firstLineChars="131"/>
        <w:jc w:val="left"/>
        <w:rPr>
          <w:rFonts w:hint="eastAsia" w:ascii="仿宋_GB2312" w:hAnsi="仿宋_GB2312" w:eastAsia="仿宋_GB2312" w:cs="仿宋_GB2312"/>
          <w:b w:val="0"/>
          <w:i w:val="0"/>
          <w:strike w:val="0"/>
          <w:color w:val="000000"/>
          <w:spacing w:val="0"/>
          <w:w w:val="100"/>
          <w:sz w:val="32"/>
          <w:u w:val="none"/>
        </w:rPr>
      </w:pPr>
      <w:r>
        <w:rPr>
          <w:rFonts w:hint="eastAsia" w:ascii="仿宋_GB2312" w:hAnsi="仿宋_GB2312" w:eastAsia="仿宋_GB2312" w:cs="仿宋_GB2312"/>
          <w:b w:val="0"/>
          <w:i w:val="0"/>
          <w:strike w:val="0"/>
          <w:color w:val="000000"/>
          <w:spacing w:val="0"/>
          <w:w w:val="100"/>
          <w:sz w:val="32"/>
          <w:u w:val="none"/>
        </w:rPr>
        <w:t>准备和组织2022</w:t>
      </w:r>
      <w:r>
        <w:rPr>
          <w:rFonts w:hint="eastAsia" w:ascii="仿宋_GB2312" w:hAnsi="仿宋_GB2312" w:eastAsia="仿宋_GB2312" w:cs="仿宋_GB2312"/>
          <w:b w:val="0"/>
          <w:i w:val="0"/>
          <w:strike w:val="0"/>
          <w:color w:val="000000"/>
          <w:spacing w:val="0"/>
          <w:w w:val="100"/>
          <w:sz w:val="32"/>
          <w:u w:val="none"/>
          <w:lang w:eastAsia="zh-CN"/>
        </w:rPr>
        <w:t>届毕业生毕业典礼事宜，并于</w:t>
      </w:r>
      <w:r>
        <w:rPr>
          <w:rFonts w:hint="eastAsia" w:ascii="仿宋_GB2312" w:hAnsi="仿宋_GB2312" w:eastAsia="仿宋_GB2312" w:cs="仿宋_GB2312"/>
          <w:b w:val="0"/>
          <w:i w:val="0"/>
          <w:strike w:val="0"/>
          <w:color w:val="000000"/>
          <w:spacing w:val="0"/>
          <w:w w:val="100"/>
          <w:sz w:val="32"/>
          <w:u w:val="none"/>
        </w:rPr>
        <w:t>6月23</w:t>
      </w:r>
      <w:r>
        <w:rPr>
          <w:rFonts w:hint="eastAsia" w:ascii="仿宋_GB2312" w:hAnsi="仿宋_GB2312" w:eastAsia="仿宋_GB2312" w:cs="仿宋_GB2312"/>
          <w:b w:val="0"/>
          <w:i w:val="0"/>
          <w:strike w:val="0"/>
          <w:color w:val="000000"/>
          <w:spacing w:val="0"/>
          <w:w w:val="100"/>
          <w:sz w:val="32"/>
          <w:u w:val="none"/>
          <w:lang w:eastAsia="zh-CN"/>
        </w:rPr>
        <w:t>和</w:t>
      </w:r>
      <w:r>
        <w:rPr>
          <w:rFonts w:hint="eastAsia" w:ascii="仿宋_GB2312" w:hAnsi="仿宋_GB2312" w:eastAsia="仿宋_GB2312" w:cs="仿宋_GB2312"/>
          <w:b w:val="0"/>
          <w:i w:val="0"/>
          <w:strike w:val="0"/>
          <w:color w:val="000000"/>
          <w:spacing w:val="0"/>
          <w:w w:val="100"/>
          <w:sz w:val="32"/>
          <w:u w:val="none"/>
        </w:rPr>
        <w:t>6月24</w:t>
      </w:r>
      <w:r>
        <w:rPr>
          <w:rFonts w:hint="eastAsia" w:ascii="仿宋_GB2312" w:hAnsi="仿宋_GB2312" w:eastAsia="仿宋_GB2312" w:cs="仿宋_GB2312"/>
          <w:b w:val="0"/>
          <w:i w:val="0"/>
          <w:strike w:val="0"/>
          <w:color w:val="000000"/>
          <w:spacing w:val="0"/>
          <w:w w:val="100"/>
          <w:sz w:val="32"/>
          <w:u w:val="none"/>
          <w:lang w:eastAsia="zh-CN"/>
        </w:rPr>
        <w:t>日分别召开</w:t>
      </w:r>
      <w:r>
        <w:rPr>
          <w:rFonts w:hint="eastAsia" w:ascii="仿宋_GB2312" w:hAnsi="仿宋_GB2312" w:eastAsia="仿宋_GB2312" w:cs="仿宋_GB2312"/>
          <w:b w:val="0"/>
          <w:i w:val="0"/>
          <w:strike w:val="0"/>
          <w:color w:val="000000"/>
          <w:spacing w:val="0"/>
          <w:w w:val="100"/>
          <w:sz w:val="32"/>
          <w:u w:val="none"/>
        </w:rPr>
        <w:t>广州校区和佛山校区的毕业典礼。</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center"/>
        <w:textAlignment w:val="auto"/>
        <w:rPr>
          <w:rFonts w:hint="default" w:ascii="华文中宋" w:hAnsi="华文中宋" w:eastAsia="华文中宋" w:cs="华文中宋"/>
          <w:b/>
          <w:bCs/>
          <w:color w:val="000000"/>
          <w:sz w:val="40"/>
          <w:szCs w:val="40"/>
          <w:lang w:eastAsia="zh-CN"/>
        </w:rPr>
      </w:pPr>
      <w:r>
        <w:rPr>
          <w:rFonts w:hint="default" w:ascii="华文中宋" w:hAnsi="华文中宋" w:eastAsia="华文中宋" w:cs="华文中宋"/>
          <w:b/>
          <w:bCs/>
          <w:color w:val="000000"/>
          <w:sz w:val="40"/>
          <w:szCs w:val="40"/>
          <w:lang w:eastAsia="zh-CN"/>
        </w:rPr>
        <w:drawing>
          <wp:inline distT="0" distB="0" distL="114300" distR="114300">
            <wp:extent cx="4187825" cy="2517140"/>
            <wp:effectExtent l="0" t="0" r="3175" b="22860"/>
            <wp:docPr id="7" name="图片 7" descr="WechatIM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333"/>
                    <pic:cNvPicPr>
                      <a:picLocks noChangeAspect="1"/>
                    </pic:cNvPicPr>
                  </pic:nvPicPr>
                  <pic:blipFill>
                    <a:blip r:embed="rId10"/>
                    <a:stretch>
                      <a:fillRect/>
                    </a:stretch>
                  </pic:blipFill>
                  <pic:spPr>
                    <a:xfrm>
                      <a:off x="0" y="0"/>
                      <a:ext cx="4187825" cy="25171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131"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5"/>
        </w:numPr>
        <w:kinsoku/>
        <w:wordWrap/>
        <w:overflowPunct/>
        <w:topLinePunct w:val="0"/>
        <w:autoSpaceDE/>
        <w:autoSpaceDN/>
        <w:bidi w:val="0"/>
        <w:adjustRightInd/>
        <w:snapToGrid w:val="0"/>
        <w:spacing w:before="0" w:after="0" w:line="360" w:lineRule="auto"/>
        <w:ind w:left="1" w:leftChars="0" w:firstLine="419"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6月1</w:t>
      </w:r>
      <w:r>
        <w:rPr>
          <w:rFonts w:hint="eastAsia" w:ascii="仿宋" w:hAnsi="仿宋" w:eastAsia="仿宋"/>
          <w:color w:val="000000"/>
          <w:sz w:val="32"/>
          <w:szCs w:val="32"/>
          <w:lang w:val="en-US" w:eastAsia="zh-CN"/>
        </w:rPr>
        <w:t>8</w:t>
      </w:r>
      <w:r>
        <w:rPr>
          <w:rFonts w:hint="eastAsia" w:ascii="仿宋" w:hAnsi="仿宋" w:eastAsia="仿宋"/>
          <w:color w:val="000000"/>
          <w:sz w:val="32"/>
          <w:szCs w:val="32"/>
          <w:lang w:eastAsia="zh-CN"/>
        </w:rPr>
        <w:t>日，公共管理学院</w:t>
      </w:r>
      <w:r>
        <w:rPr>
          <w:rFonts w:hint="eastAsia" w:ascii="仿宋_GB2312" w:hAnsi="仿宋_GB2312" w:eastAsia="仿宋_GB2312" w:cs="仿宋_GB2312"/>
          <w:color w:val="000000"/>
          <w:sz w:val="32"/>
          <w:szCs w:val="32"/>
          <w:lang w:eastAsia="zh-CN"/>
        </w:rPr>
        <w:t>202</w:t>
      </w:r>
      <w:r>
        <w:rPr>
          <w:rFonts w:hint="default" w:ascii="仿宋_GB2312" w:hAnsi="仿宋_GB2312" w:eastAsia="仿宋_GB2312" w:cs="仿宋_GB2312"/>
          <w:color w:val="000000"/>
          <w:sz w:val="32"/>
          <w:szCs w:val="32"/>
          <w:lang w:eastAsia="zh-CN"/>
        </w:rPr>
        <w:t>2</w:t>
      </w:r>
      <w:r>
        <w:rPr>
          <w:rFonts w:hint="eastAsia" w:ascii="仿宋_GB2312" w:hAnsi="仿宋_GB2312" w:eastAsia="仿宋_GB2312" w:cs="仿宋_GB2312"/>
          <w:color w:val="000000"/>
          <w:sz w:val="32"/>
          <w:szCs w:val="32"/>
          <w:lang w:val="en-US" w:eastAsia="zh-Hans"/>
        </w:rPr>
        <w:t>届</w:t>
      </w:r>
      <w:r>
        <w:rPr>
          <w:rFonts w:hint="eastAsia" w:ascii="仿宋_GB2312" w:hAnsi="仿宋_GB2312" w:eastAsia="仿宋_GB2312" w:cs="仿宋_GB2312"/>
          <w:color w:val="000000"/>
          <w:sz w:val="32"/>
          <w:szCs w:val="32"/>
          <w:lang w:eastAsia="zh-CN"/>
        </w:rPr>
        <w:t>MPA拍摄毕业照。</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ascii="微软雅黑" w:hAnsi="微软雅黑" w:eastAsia="微软雅黑" w:cs="微软雅黑"/>
          <w:b w:val="0"/>
          <w:i w:val="0"/>
          <w:strike w:val="0"/>
          <w:color w:val="000000"/>
          <w:spacing w:val="0"/>
          <w:w w:val="100"/>
          <w:sz w:val="32"/>
          <w:u w:val="none"/>
        </w:rPr>
      </w:pPr>
      <w:bookmarkStart w:id="0" w:name="_GoBack"/>
      <w:bookmarkEnd w:id="0"/>
      <w:r>
        <w:rPr>
          <w:rFonts w:hint="eastAsia" w:ascii="仿宋" w:hAnsi="仿宋" w:eastAsia="仿宋"/>
          <w:color w:val="000000"/>
          <w:sz w:val="32"/>
          <w:szCs w:val="32"/>
          <w:lang w:eastAsia="zh-CN"/>
        </w:rPr>
        <w:t>﻿</w:t>
      </w:r>
      <w:r>
        <w:rPr>
          <w:rFonts w:hint="eastAsia" w:ascii="仿宋" w:hAnsi="仿宋" w:eastAsia="仿宋"/>
          <w:color w:val="000000"/>
          <w:sz w:val="32"/>
          <w:szCs w:val="32"/>
          <w:lang w:eastAsia="zh-CN"/>
        </w:rPr>
        <w:drawing>
          <wp:inline distT="0" distB="0" distL="0" distR="0">
            <wp:extent cx="4754880" cy="2347595"/>
            <wp:effectExtent l="0" t="0" r="7620" b="146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rcRect/>
                    <a:stretch>
                      <a:fillRect/>
                    </a:stretch>
                  </pic:blipFill>
                  <pic:spPr>
                    <a:xfrm>
                      <a:off x="0" y="0"/>
                      <a:ext cx="4754880" cy="2347595"/>
                    </a:xfrm>
                    <a:prstGeom prst="rect">
                      <a:avLst/>
                    </a:prstGeom>
                    <a:noFill/>
                    <a:ln>
                      <a:noFill/>
                    </a:ln>
                  </pic:spPr>
                </pic:pic>
              </a:graphicData>
            </a:graphic>
          </wp:inline>
        </w:drawing>
      </w:r>
    </w:p>
    <w:p>
      <w:pPr>
        <w:numPr>
          <w:ilvl w:val="0"/>
          <w:numId w:val="4"/>
        </w:numPr>
        <w:spacing w:before="0" w:after="0"/>
        <w:ind w:left="0" w:leftChars="0" w:firstLine="419" w:firstLineChars="131"/>
        <w:jc w:val="both"/>
        <w:rPr>
          <w:rFonts w:hint="eastAsia" w:ascii="仿宋_GB2312" w:hAnsi="仿宋_GB2312" w:eastAsia="仿宋_GB2312" w:cs="仿宋_GB2312"/>
          <w:b w:val="0"/>
          <w:i w:val="0"/>
          <w:strike w:val="0"/>
          <w:color w:val="000000"/>
          <w:spacing w:val="0"/>
          <w:w w:val="100"/>
          <w:sz w:val="32"/>
          <w:u w:val="none"/>
        </w:rPr>
      </w:pPr>
      <w:r>
        <w:rPr>
          <w:rFonts w:hint="eastAsia" w:ascii="仿宋_GB2312" w:hAnsi="仿宋_GB2312" w:eastAsia="仿宋_GB2312" w:cs="仿宋_GB2312"/>
          <w:b w:val="0"/>
          <w:i w:val="0"/>
          <w:strike w:val="0"/>
          <w:color w:val="000000"/>
          <w:spacing w:val="0"/>
          <w:w w:val="100"/>
          <w:sz w:val="32"/>
          <w:u w:val="none"/>
        </w:rPr>
        <w:t>完成《广东财经大学MPA全日制研究生评优评先评定办法》修订，公示并提交。</w:t>
      </w:r>
    </w:p>
    <w:p>
      <w:pPr>
        <w:numPr>
          <w:ilvl w:val="0"/>
          <w:numId w:val="4"/>
        </w:numPr>
        <w:spacing w:before="0" w:after="0"/>
        <w:ind w:left="0" w:leftChars="0" w:firstLine="419" w:firstLineChars="131"/>
        <w:jc w:val="both"/>
        <w:rPr>
          <w:rFonts w:ascii="微软雅黑" w:hAnsi="微软雅黑" w:eastAsia="微软雅黑" w:cs="微软雅黑"/>
          <w:b w:val="0"/>
          <w:i w:val="0"/>
          <w:strike w:val="0"/>
          <w:color w:val="000000"/>
          <w:spacing w:val="0"/>
          <w:w w:val="100"/>
          <w:sz w:val="32"/>
          <w:u w:val="none"/>
        </w:rPr>
      </w:pPr>
      <w:r>
        <w:rPr>
          <w:rFonts w:hint="eastAsia" w:ascii="仿宋_GB2312" w:hAnsi="仿宋_GB2312" w:eastAsia="仿宋_GB2312" w:cs="仿宋_GB2312"/>
          <w:b w:val="0"/>
          <w:i w:val="0"/>
          <w:strike w:val="0"/>
          <w:color w:val="000000"/>
          <w:spacing w:val="0"/>
          <w:w w:val="100"/>
          <w:sz w:val="32"/>
          <w:u w:val="none"/>
        </w:rPr>
        <w:t>加强未就业研究生毕业生的就业引导和支持工作，帮助困难学生完善简历，理清思路，积极就业。</w:t>
      </w:r>
      <w:r>
        <w:rPr>
          <w:rFonts w:ascii="微软雅黑" w:hAnsi="微软雅黑" w:eastAsia="微软雅黑" w:cs="微软雅黑"/>
          <w:b w:val="0"/>
          <w:i w:val="0"/>
          <w:strike w:val="0"/>
          <w:color w:val="000000"/>
          <w:spacing w:val="0"/>
          <w:w w:val="100"/>
          <w:sz w:val="32"/>
          <w:u w:val="none"/>
        </w:rPr>
        <w:t>﻿</w:t>
      </w:r>
    </w:p>
    <w:p>
      <w:pPr>
        <w:spacing w:before="0" w:after="0"/>
        <w:ind w:firstLine="0"/>
        <w:jc w:val="both"/>
        <w:rPr>
          <w:rFonts w:ascii="微软雅黑" w:hAnsi="微软雅黑" w:eastAsia="微软雅黑" w:cs="微软雅黑"/>
          <w:b w:val="0"/>
          <w:i w:val="0"/>
          <w:strike w:val="0"/>
          <w:color w:val="000000"/>
          <w:spacing w:val="0"/>
          <w:w w:val="100"/>
          <w:sz w:val="32"/>
          <w:u w:val="none"/>
        </w:rPr>
      </w:pPr>
    </w:p>
    <w:p>
      <w:pPr>
        <w:pStyle w:val="3"/>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方正小标宋简体">
    <w:altName w:val="汉仪书宋二KW"/>
    <w:panose1 w:val="03000509000000000000"/>
    <w:charset w:val="86"/>
    <w:family w:val="auto"/>
    <w:pitch w:val="default"/>
    <w:sig w:usb0="00000000" w:usb1="00000000" w:usb2="00000000" w:usb3="00000000" w:csb0="00040000" w:csb1="00000000"/>
  </w:font>
  <w:font w:name="Calibri Light">
    <w:altName w:val="Helvetica Neue"/>
    <w:panose1 w:val="020F0302020204030204"/>
    <w:charset w:val="00"/>
    <w:family w:val="auto"/>
    <w:pitch w:val="default"/>
    <w:sig w:usb0="00000000" w:usb1="00000000" w:usb2="00000000" w:usb3="00000000" w:csb0="2000019F" w:csb1="00000000"/>
  </w:font>
  <w:font w:name="汉仪中黑KW">
    <w:panose1 w:val="00020600040101010101"/>
    <w:charset w:val="86"/>
    <w:family w:val="auto"/>
    <w:pitch w:val="default"/>
    <w:sig w:usb0="00000000" w:usb1="00000000" w:usb2="00000000" w:usb3="00000000" w:csb0="00160000" w:csb1="00000000"/>
  </w:font>
  <w:font w:name="华文中宋">
    <w:altName w:val="汉仪书宋二KW"/>
    <w:panose1 w:val="02010600040101010101"/>
    <w:charset w:val="86"/>
    <w:family w:val="auto"/>
    <w:pitch w:val="default"/>
    <w:sig w:usb0="00000000" w:usb1="00000000" w:usb2="00000000" w:usb3="00000000" w:csb0="0004009F" w:csb1="DFD7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仿宋_GB2312">
    <w:altName w:val="方正仿宋_GBK"/>
    <w:panose1 w:val="02010609030101010101"/>
    <w:charset w:val="86"/>
    <w:family w:val="auto"/>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儷宋 Pro">
    <w:panose1 w:val="0202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仿宋_GB2312">
    <w:altName w:val="方正仿宋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wKVW3AIAACQ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r8ClVtwCAAAkBgAADgAAAAAAAAABACAAAAA1&#10;AQAAZHJzL2Uyb0RvYy54bWxQSwUGAAAAAAYABgBZAQAAgw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6EA0A"/>
    <w:multiLevelType w:val="singleLevel"/>
    <w:tmpl w:val="C1F6EA0A"/>
    <w:lvl w:ilvl="0" w:tentative="0">
      <w:start w:val="1"/>
      <w:numFmt w:val="bullet"/>
      <w:lvlText w:val=""/>
      <w:lvlJc w:val="left"/>
      <w:pPr>
        <w:ind w:left="421" w:hanging="420"/>
      </w:pPr>
      <w:rPr>
        <w:rFonts w:hint="default" w:ascii="Wingdings" w:hAnsi="Wingdings"/>
      </w:rPr>
    </w:lvl>
  </w:abstractNum>
  <w:abstractNum w:abstractNumId="1">
    <w:nsid w:val="E3304C8F"/>
    <w:multiLevelType w:val="singleLevel"/>
    <w:tmpl w:val="E3304C8F"/>
    <w:lvl w:ilvl="0" w:tentative="0">
      <w:start w:val="1"/>
      <w:numFmt w:val="bullet"/>
      <w:lvlText w:val=""/>
      <w:lvlJc w:val="left"/>
      <w:pPr>
        <w:ind w:left="420" w:hanging="420"/>
      </w:pPr>
      <w:rPr>
        <w:rFonts w:hint="default" w:ascii="Wingdings" w:hAnsi="Wingdings"/>
      </w:rPr>
    </w:lvl>
  </w:abstractNum>
  <w:abstractNum w:abstractNumId="2">
    <w:nsid w:val="3CA7F3EC"/>
    <w:multiLevelType w:val="singleLevel"/>
    <w:tmpl w:val="3CA7F3EC"/>
    <w:lvl w:ilvl="0" w:tentative="0">
      <w:start w:val="1"/>
      <w:numFmt w:val="bullet"/>
      <w:lvlText w:val=""/>
      <w:lvlJc w:val="left"/>
      <w:pPr>
        <w:ind w:left="420" w:hanging="420"/>
      </w:pPr>
      <w:rPr>
        <w:rFonts w:hint="default" w:ascii="Wingdings" w:hAnsi="Wingdings"/>
      </w:rPr>
    </w:lvl>
  </w:abstractNum>
  <w:abstractNum w:abstractNumId="3">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abstractNum w:abstractNumId="4">
    <w:nsid w:val="4FC2E561"/>
    <w:multiLevelType w:val="singleLevel"/>
    <w:tmpl w:val="4FC2E561"/>
    <w:lvl w:ilvl="0" w:tentative="0">
      <w:start w:val="1"/>
      <w:numFmt w:val="bullet"/>
      <w:lvlText w:val=""/>
      <w:lvlJc w:val="left"/>
      <w:pPr>
        <w:ind w:left="420" w:hanging="420"/>
      </w:pPr>
      <w:rPr>
        <w:rFonts w:hint="default" w:ascii="Wingdings" w:hAnsi="Wingding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76EF002"/>
    <w:rsid w:val="1A614E9E"/>
    <w:rsid w:val="1FF335AB"/>
    <w:rsid w:val="22EC43C9"/>
    <w:rsid w:val="249C5096"/>
    <w:rsid w:val="2EA25342"/>
    <w:rsid w:val="2F734455"/>
    <w:rsid w:val="34437A7B"/>
    <w:rsid w:val="3FAB5883"/>
    <w:rsid w:val="47D036C9"/>
    <w:rsid w:val="4CBC40C3"/>
    <w:rsid w:val="54D344CF"/>
    <w:rsid w:val="563572F6"/>
    <w:rsid w:val="605D59DF"/>
    <w:rsid w:val="60C202C2"/>
    <w:rsid w:val="66BC6E6D"/>
    <w:rsid w:val="690B2E56"/>
    <w:rsid w:val="6FFFC6D6"/>
    <w:rsid w:val="707A5F03"/>
    <w:rsid w:val="7EA115ED"/>
    <w:rsid w:val="EFFCB18A"/>
    <w:rsid w:val="FF93C1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等线"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3">
    <w:name w:val="Body Text"/>
    <w:basedOn w:val="1"/>
    <w:qFormat/>
    <w:uiPriority w:val="0"/>
    <w:pPr>
      <w:spacing w:after="120"/>
    </w:pPr>
    <w:rPr>
      <w:rFonts w:ascii="Times New Roman" w:hAnsi="Times New Roman"/>
      <w:szCs w:val="21"/>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2344</Words>
  <Characters>2443</Characters>
  <TotalTime>2</TotalTime>
  <ScaleCrop>false</ScaleCrop>
  <LinksUpToDate>false</LinksUpToDate>
  <CharactersWithSpaces>2451</CharactersWithSpaces>
  <Application>WPS Office_4.2.2.6882_F1E327BC-269C-435d-A152-05C5408002CA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2022-06-24T22:27:00Z</dcterms:created>
  <dc:creator>admin</dc:creator>
  <cp:lastModifiedBy>午夕</cp:lastModifiedBy>
  <dcterms:modified xsi:type="dcterms:W3CDTF">2022-06-24T17:08:14Z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839970EAC77B4103833918A7E301AF44</vt:lpwstr>
  </property>
</Properties>
</file>