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page" w:horzAnchor="page" w:tblpXSpec="center" w:tblpY="1083"/>
        <w:tblOverlap w:val="never"/>
        <w:tblW w:w="8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9</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2022年5</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27</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Dvq1o3/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ENTgIlhmls+O2n&#10;7z8/fvn14zOut9++kmkUaXBQYeyV2fnzDtzOR8bH1uv4Ry7kiDAXebm4KCg51XQ2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76taN/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配合学校每天做好重点区域旅居史排查工作、及时报送相关师生数据，改进学生每日健康打卡督促方式，保证健康打卡率100%，实时关注各年级学生健康情况。</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截止5月26日，全院本科学生广州校区已返校608人，因疫情暂缓64人，毕业班实习暂缓126人，其它事由请假3人；佛山校区已返校881人，因疫情暂缓1人，其他情况请假2人。“新冠”疫苗加强针接种情况，广州校区到期780人，完成776人，接种率99.4%；佛山校区到期867，完成810人，接种完成率93.4%。</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配合学校每天做好重点区域旅居史排查工作、及时报送相关学生数据，配合防疫政策做好相关隔离、健康监测工作，实时关注各年级学生健康情况，跟踪发热学生状况，及时处理相关。</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5月26日，配合学校工作安排，组织广州校区在校</w:t>
      </w:r>
      <w:r>
        <w:rPr>
          <w:rFonts w:hint="eastAsia" w:ascii="仿宋" w:hAnsi="仿宋" w:eastAsia="仿宋"/>
          <w:color w:val="000000"/>
          <w:sz w:val="32"/>
          <w:szCs w:val="32"/>
          <w:lang w:eastAsia="zh-CN"/>
        </w:rPr>
        <w:t>老师和</w:t>
      </w:r>
      <w:r>
        <w:rPr>
          <w:rFonts w:hint="eastAsia" w:ascii="仿宋" w:hAnsi="仿宋" w:eastAsia="仿宋"/>
          <w:color w:val="000000"/>
          <w:sz w:val="32"/>
          <w:szCs w:val="32"/>
        </w:rPr>
        <w:t>学生完成全员核酸检测。</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5月</w:t>
      </w:r>
      <w:r>
        <w:rPr>
          <w:rFonts w:hint="eastAsia" w:ascii="仿宋" w:hAnsi="仿宋" w:eastAsia="仿宋"/>
          <w:color w:val="000000"/>
          <w:sz w:val="32"/>
          <w:szCs w:val="32"/>
          <w:lang w:val="en-US" w:eastAsia="zh-CN"/>
        </w:rPr>
        <w:t>27</w:t>
      </w:r>
      <w:r>
        <w:rPr>
          <w:rFonts w:ascii="仿宋" w:hAnsi="仿宋" w:eastAsia="仿宋"/>
          <w:color w:val="000000"/>
          <w:sz w:val="32"/>
          <w:szCs w:val="32"/>
        </w:rPr>
        <w:t>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：9位老师从没接种，1位老师已接种第一针，6位老师已接种第二针，50位老师已接种第三针（应接种第三针的老师是55位，但由于身体原因，有5位老师没有接种第三针）。</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420" w:leftChars="0"/>
        <w:jc w:val="both"/>
        <w:textAlignment w:val="auto"/>
        <w:rPr>
          <w:rFonts w:hint="eastAsia" w:ascii="仿宋" w:hAnsi="仿宋" w:eastAsia="仿宋"/>
          <w:color w:val="000000"/>
          <w:sz w:val="32"/>
          <w:szCs w:val="32"/>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5月24日，召开公共管理学院党委会，组织</w:t>
      </w:r>
      <w:r>
        <w:rPr>
          <w:rFonts w:hint="eastAsia" w:ascii="仿宋" w:hAnsi="仿宋" w:eastAsia="仿宋"/>
          <w:b/>
          <w:bCs/>
          <w:color w:val="000000"/>
          <w:sz w:val="32"/>
          <w:szCs w:val="32"/>
          <w:lang w:eastAsia="zh-CN"/>
        </w:rPr>
        <w:t>第一议题</w:t>
      </w:r>
      <w:r>
        <w:rPr>
          <w:rFonts w:hint="eastAsia" w:ascii="仿宋" w:hAnsi="仿宋" w:eastAsia="仿宋"/>
          <w:color w:val="000000"/>
          <w:sz w:val="32"/>
          <w:szCs w:val="32"/>
          <w:lang w:eastAsia="zh-CN"/>
        </w:rPr>
        <w:t>学习，学习了中共中央政治局常务委员会上，习近平总书记关于新冠疫情的讲话精神。同时也传达了学校第十一次党委常委会的要求，一是要深入学习领会习近平总书记重要讲话精神，统一思想，统一意志，统一行动；二是要加强防控能力建设，进一步吧疫情防控工作抓紧抓实抓细；三是要从严落实常态化防疫防控的措施，引导师生员工切实履行疫情防控的责任；四是要切实增强做好新冠疫情防控下的思想政治工作的责任感和紧迫感，为迎接二十大的胜利召开创造条件。会议最后钟智书记提出三点要求，一是要深入领会学习习近平总书记重要讲话精神，结合学院的工作贯彻落实；二是要落实学校第十一次党委常委会的四点要求，贯彻好人民至上、生命至上的理念，加强防控能力建设，落实好防控的举措，做好疫情下的思想政治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hint="eastAsia" w:ascii="仿宋" w:hAnsi="仿宋" w:eastAsia="仿宋"/>
          <w:color w:val="000000"/>
          <w:sz w:val="32"/>
          <w:szCs w:val="32"/>
          <w:lang w:eastAsia="zh-CN"/>
        </w:rPr>
        <w:t>学院学生党支部本学期党员发展对象遴选工作，在满足基本条件，遵循“优中选优”的原则下，对积极分子进行全面综合考察，并已完成对重点对象的政治审查工作。5月26日，学院党委书记钟智对发展对象进行集中培训，带领发展对象系统学习了党章、党内生活的若干准则。</w:t>
      </w:r>
    </w:p>
    <w:p>
      <w:pPr>
        <w:pStyle w:val="2"/>
        <w:jc w:val="center"/>
      </w:pPr>
      <w:r>
        <w:rPr>
          <w:rFonts w:ascii="仿宋" w:hAnsi="仿宋" w:eastAsia="仿宋"/>
          <w:color w:val="000000"/>
          <w:sz w:val="28"/>
          <w:szCs w:val="28"/>
        </w:rPr>
        <w:drawing>
          <wp:inline distT="0" distB="0" distL="0" distR="0">
            <wp:extent cx="4181475" cy="31337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4181475" cy="3133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收集通识选修课课程简介相关材料并检查课程开展情况。收集期中教学检查相关材料，完成2021-2022学年第一学期试卷检查工作。落实2022年上半年大学英语四、六级考试监考安排。</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组织2022-2023学年第一学期自编教材及境外教材审核。推进2019级本科生学情调查工作，完成2021级《思想政治综合实践》课程学分费催缴工作。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b/>
          <w:bCs/>
          <w:color w:val="000000"/>
          <w:sz w:val="32"/>
          <w:szCs w:val="32"/>
          <w:lang w:eastAsia="zh-CN"/>
        </w:rPr>
        <w:t>确保实验室教学</w:t>
      </w:r>
      <w:r>
        <w:rPr>
          <w:rFonts w:hint="eastAsia" w:ascii="仿宋" w:hAnsi="仿宋" w:eastAsia="仿宋"/>
          <w:color w:val="000000"/>
          <w:sz w:val="32"/>
          <w:szCs w:val="32"/>
          <w:lang w:eastAsia="zh-CN"/>
        </w:rPr>
        <w:t>的正常运行。1.规整房地产仿真模拟实验室的画板、丁字尺及图纸；2.整理土地资源管理综合实验室的计算机电源线及显示器连接线；3.做好实验室安全记录台账每日巡检并记录存档；4.填写5月份实验室安全检查月报、月检、抽检相关的内容并盖章递交教务处；5.虚拟仿真实训操作终端更新不成功，需重装系统2台；6.重装QQ浏览器5台；7.更换网络连接线3条。</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5月24日，学院</w:t>
      </w:r>
      <w:r>
        <w:rPr>
          <w:rFonts w:hint="eastAsia" w:ascii="仿宋" w:hAnsi="仿宋" w:eastAsia="仿宋"/>
          <w:b/>
          <w:bCs/>
          <w:color w:val="000000"/>
          <w:sz w:val="32"/>
          <w:szCs w:val="32"/>
          <w:lang w:eastAsia="zh-CN"/>
        </w:rPr>
        <w:t>开展科研团队学术沙龙</w:t>
      </w:r>
      <w:r>
        <w:rPr>
          <w:rFonts w:hint="eastAsia" w:ascii="仿宋" w:hAnsi="仿宋" w:eastAsia="仿宋"/>
          <w:color w:val="000000"/>
          <w:sz w:val="32"/>
          <w:szCs w:val="32"/>
          <w:lang w:eastAsia="zh-CN"/>
        </w:rPr>
        <w:t>。会上，陈少沛教授、夏少琼副教授、袁立超老师就近期的科研内容进行了分享，团队开展了热烈讨论交流。</w:t>
      </w:r>
    </w:p>
    <w:p>
      <w:pPr>
        <w:snapToGrid w:val="0"/>
        <w:spacing w:before="0" w:after="0" w:line="360" w:lineRule="auto"/>
        <w:ind w:leftChars="0" w:firstLine="0"/>
        <w:jc w:val="both"/>
        <w:rPr>
          <w:rFonts w:ascii="仿宋" w:hAnsi="仿宋" w:eastAsia="仿宋"/>
          <w:color w:val="000000"/>
          <w:sz w:val="32"/>
          <w:szCs w:val="32"/>
        </w:rPr>
      </w:pPr>
      <w:r>
        <w:rPr>
          <w:rFonts w:ascii="仿宋" w:hAnsi="仿宋" w:eastAsia="仿宋"/>
          <w:color w:val="000000"/>
          <w:sz w:val="32"/>
          <w:szCs w:val="32"/>
        </w:rPr>
        <w:drawing>
          <wp:inline distT="0" distB="0" distL="0" distR="0">
            <wp:extent cx="5274310" cy="28702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870340"/>
                    </a:xfrm>
                    <a:prstGeom prst="rect">
                      <a:avLst/>
                    </a:prstGeom>
                  </pic:spPr>
                </pic:pic>
              </a:graphicData>
            </a:graphic>
          </wp:inline>
        </w:drawing>
      </w:r>
    </w:p>
    <w:p>
      <w:pPr>
        <w:snapToGrid w:val="0"/>
        <w:spacing w:before="0" w:after="0" w:line="360" w:lineRule="auto"/>
        <w:ind w:leftChars="0" w:firstLine="0"/>
        <w:jc w:val="center"/>
        <w:rPr>
          <w:rFonts w:ascii="仿宋" w:hAnsi="仿宋" w:eastAsia="仿宋"/>
          <w:color w:val="000000"/>
          <w:sz w:val="24"/>
          <w:szCs w:val="24"/>
        </w:rPr>
      </w:pPr>
      <w:r>
        <w:rPr>
          <w:rFonts w:ascii="仿宋" w:hAnsi="仿宋" w:eastAsia="仿宋"/>
          <w:color w:val="000000"/>
          <w:sz w:val="24"/>
          <w:szCs w:val="24"/>
        </w:rPr>
        <w:t>公共管理学院陈少沛教授在学院科研团队学术会议上发表题为“高铁网络结果特种研究”的主旨演讲</w:t>
      </w:r>
    </w:p>
    <w:p>
      <w:pPr>
        <w:snapToGrid w:val="0"/>
        <w:spacing w:before="0" w:after="0" w:line="360" w:lineRule="auto"/>
        <w:ind w:leftChars="0" w:firstLine="0"/>
        <w:jc w:val="both"/>
        <w:rPr>
          <w:rFonts w:ascii="仿宋" w:hAnsi="仿宋" w:eastAsia="仿宋"/>
          <w:color w:val="000000"/>
          <w:sz w:val="32"/>
          <w:szCs w:val="32"/>
        </w:rPr>
      </w:pPr>
      <w:r>
        <w:rPr>
          <w:rFonts w:ascii="仿宋" w:hAnsi="仿宋" w:eastAsia="仿宋"/>
          <w:color w:val="000000"/>
          <w:sz w:val="32"/>
          <w:szCs w:val="32"/>
        </w:rPr>
        <w:drawing>
          <wp:inline distT="0" distB="0" distL="0" distR="0">
            <wp:extent cx="5274310" cy="29908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990946"/>
                    </a:xfrm>
                    <a:prstGeom prst="rect">
                      <a:avLst/>
                    </a:prstGeom>
                  </pic:spPr>
                </pic:pic>
              </a:graphicData>
            </a:graphic>
          </wp:inline>
        </w:drawing>
      </w:r>
    </w:p>
    <w:p>
      <w:pPr>
        <w:snapToGrid w:val="0"/>
        <w:spacing w:before="0" w:after="0" w:line="360" w:lineRule="auto"/>
        <w:ind w:leftChars="0" w:firstLine="0"/>
        <w:jc w:val="center"/>
        <w:rPr>
          <w:rFonts w:ascii="仿宋" w:hAnsi="仿宋" w:eastAsia="仿宋"/>
          <w:color w:val="000000"/>
          <w:sz w:val="24"/>
          <w:szCs w:val="24"/>
        </w:rPr>
      </w:pPr>
      <w:r>
        <w:rPr>
          <w:rFonts w:ascii="仿宋" w:hAnsi="仿宋" w:eastAsia="仿宋"/>
          <w:color w:val="000000"/>
          <w:sz w:val="24"/>
          <w:szCs w:val="24"/>
        </w:rPr>
        <w:t>公共管理学院夏少琼副教授在学院科研团队学术会议上发表题为“整合视角下戒毒家庭治疗干预研究”的主旨演讲</w:t>
      </w:r>
    </w:p>
    <w:p>
      <w:pPr>
        <w:snapToGrid w:val="0"/>
        <w:spacing w:before="0" w:after="0" w:line="360" w:lineRule="auto"/>
        <w:ind w:leftChars="0" w:firstLine="0"/>
        <w:jc w:val="both"/>
        <w:rPr>
          <w:rFonts w:ascii="仿宋" w:hAnsi="仿宋" w:eastAsia="仿宋"/>
          <w:color w:val="000000"/>
          <w:sz w:val="32"/>
          <w:szCs w:val="32"/>
        </w:rPr>
      </w:pPr>
      <w:r>
        <w:rPr>
          <w:rFonts w:ascii="仿宋" w:hAnsi="仿宋" w:eastAsia="仿宋"/>
          <w:color w:val="000000"/>
          <w:sz w:val="32"/>
          <w:szCs w:val="32"/>
        </w:rPr>
        <w:drawing>
          <wp:inline distT="0" distB="0" distL="0" distR="0">
            <wp:extent cx="5274310" cy="3152140"/>
            <wp:effectExtent l="0" t="0" r="254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3152407"/>
                    </a:xfrm>
                    <a:prstGeom prst="rect">
                      <a:avLst/>
                    </a:prstGeom>
                  </pic:spPr>
                </pic:pic>
              </a:graphicData>
            </a:graphic>
          </wp:inline>
        </w:drawing>
      </w:r>
    </w:p>
    <w:p>
      <w:pPr>
        <w:snapToGrid w:val="0"/>
        <w:spacing w:before="0" w:after="0" w:line="360" w:lineRule="auto"/>
        <w:ind w:leftChars="0" w:firstLine="0"/>
        <w:jc w:val="center"/>
        <w:rPr>
          <w:rFonts w:ascii="仿宋" w:hAnsi="仿宋" w:eastAsia="仿宋"/>
          <w:color w:val="000000"/>
          <w:sz w:val="24"/>
          <w:szCs w:val="24"/>
        </w:rPr>
      </w:pPr>
      <w:r>
        <w:rPr>
          <w:rFonts w:ascii="仿宋" w:hAnsi="仿宋" w:eastAsia="仿宋"/>
          <w:color w:val="000000"/>
          <w:sz w:val="24"/>
          <w:szCs w:val="24"/>
        </w:rPr>
        <w:t>公共管理学院袁立超老师在学院科研团队学术会议上发表题为”从‘沙漏型’到‘立体化’街居制的转型研究”的主旨演讲</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学院完成科研业绩月报，汇总报送广东省哲学社科申报材料，组织申报校级非实体机构、广东省社会科学普及基地、2022年度广东省教育科学规划项目（高等教育专项）、2022年度高等学校科研平台和科研项目、贵州省2022年度哲学社会科学规划国学单列课题等。</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截止5月27日上午，经过学院上下齐心齐发力保就业，学院本科生就业率达到50.14%，提前达到学校制定的6月1日50%的就业率目标。</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_GB2312" w:hAnsi="仿宋_GB2312" w:eastAsia="仿宋_GB2312" w:cs="仿宋_GB2312"/>
          <w:i w:val="0"/>
          <w:iCs w:val="0"/>
          <w:caps w:val="0"/>
          <w:color w:val="333333"/>
          <w:spacing w:val="0"/>
          <w:sz w:val="31"/>
          <w:szCs w:val="31"/>
          <w:vertAlign w:val="baseline"/>
          <w:lang w:val="en-US"/>
        </w:rPr>
        <w:t>5</w:t>
      </w:r>
      <w:r>
        <w:rPr>
          <w:rFonts w:hint="eastAsia" w:ascii="仿宋_GB2312" w:hAnsi="仿宋_GB2312" w:eastAsia="仿宋_GB2312" w:cs="仿宋_GB2312"/>
          <w:i w:val="0"/>
          <w:iCs w:val="0"/>
          <w:caps w:val="0"/>
          <w:color w:val="333333"/>
          <w:spacing w:val="0"/>
          <w:sz w:val="31"/>
          <w:szCs w:val="31"/>
          <w:vertAlign w:val="baseline"/>
          <w:lang w:eastAsia="zh-CN"/>
        </w:rPr>
        <w:t>月</w:t>
      </w:r>
      <w:r>
        <w:rPr>
          <w:rFonts w:hint="eastAsia" w:ascii="仿宋_GB2312" w:hAnsi="仿宋_GB2312" w:eastAsia="仿宋_GB2312" w:cs="仿宋_GB2312"/>
          <w:i w:val="0"/>
          <w:iCs w:val="0"/>
          <w:caps w:val="0"/>
          <w:color w:val="333333"/>
          <w:spacing w:val="0"/>
          <w:sz w:val="31"/>
          <w:szCs w:val="31"/>
          <w:vertAlign w:val="baseline"/>
          <w:lang w:val="en-US"/>
        </w:rPr>
        <w:t>24</w:t>
      </w:r>
      <w:r>
        <w:rPr>
          <w:rFonts w:hint="eastAsia" w:ascii="仿宋_GB2312" w:hAnsi="仿宋_GB2312" w:eastAsia="仿宋_GB2312" w:cs="仿宋_GB2312"/>
          <w:i w:val="0"/>
          <w:iCs w:val="0"/>
          <w:caps w:val="0"/>
          <w:color w:val="333333"/>
          <w:spacing w:val="0"/>
          <w:sz w:val="31"/>
          <w:szCs w:val="31"/>
          <w:vertAlign w:val="baseline"/>
          <w:lang w:eastAsia="zh-CN"/>
        </w:rPr>
        <w:t>日，广东省民政厅“双百工程”宣讲团来校，在综合楼</w:t>
      </w:r>
      <w:r>
        <w:rPr>
          <w:rFonts w:hint="eastAsia" w:ascii="仿宋_GB2312" w:hAnsi="仿宋_GB2312" w:eastAsia="仿宋_GB2312" w:cs="仿宋_GB2312"/>
          <w:i w:val="0"/>
          <w:iCs w:val="0"/>
          <w:caps w:val="0"/>
          <w:color w:val="333333"/>
          <w:spacing w:val="0"/>
          <w:sz w:val="31"/>
          <w:szCs w:val="31"/>
          <w:vertAlign w:val="baseline"/>
          <w:lang w:val="en-US"/>
        </w:rPr>
        <w:t>408</w:t>
      </w:r>
      <w:r>
        <w:rPr>
          <w:rFonts w:hint="eastAsia" w:ascii="仿宋_GB2312" w:hAnsi="仿宋_GB2312" w:eastAsia="仿宋_GB2312" w:cs="仿宋_GB2312"/>
          <w:i w:val="0"/>
          <w:iCs w:val="0"/>
          <w:caps w:val="0"/>
          <w:color w:val="333333"/>
          <w:spacing w:val="0"/>
          <w:sz w:val="31"/>
          <w:szCs w:val="31"/>
          <w:vertAlign w:val="baseline"/>
          <w:lang w:eastAsia="zh-CN"/>
        </w:rPr>
        <w:t>报告厅为师生讲解这项兜底民生社会服务改革给社会建设和大学生就业带来的新发展和新机遇。副校长陈国栋，广东省民政厅慈善事业促进与社会工作处处长骆泽铭、广东省民政厅二级调研员谢军、中山大学教授张和清、广东省社会工作师联合会秘书长王广东、广东省社会工作师联合会培训中心主管杨震宇、广东“双百工程”优秀社工代表</w:t>
      </w:r>
      <w:r>
        <w:rPr>
          <w:rFonts w:hint="eastAsia" w:ascii="仿宋_GB2312" w:hAnsi="仿宋_GB2312" w:eastAsia="仿宋_GB2312" w:cs="仿宋_GB2312"/>
          <w:i w:val="0"/>
          <w:iCs w:val="0"/>
          <w:caps w:val="0"/>
          <w:color w:val="333333"/>
          <w:spacing w:val="0"/>
          <w:sz w:val="31"/>
          <w:szCs w:val="31"/>
          <w:vertAlign w:val="baseline"/>
        </w:rPr>
        <w:t>曾淑贞，我校学工部苏明华部长、公共管理学院领导班子成员以及师生出席，会议由公共管理学院党委书记钟智主持。</w:t>
      </w:r>
    </w:p>
    <w:p>
      <w:pPr>
        <w:pStyle w:val="2"/>
        <w:rPr>
          <w:rFonts w:hint="eastAsia"/>
          <w:lang w:eastAsia="zh-CN"/>
        </w:rPr>
      </w:pPr>
      <w:r>
        <w:drawing>
          <wp:inline distT="0" distB="0" distL="114300" distR="114300">
            <wp:extent cx="5273040" cy="3143885"/>
            <wp:effectExtent l="0" t="0" r="3810"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73040" cy="3143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default" w:ascii="仿宋" w:hAnsi="仿宋" w:eastAsia="仿宋"/>
          <w:color w:val="000000"/>
          <w:sz w:val="32"/>
          <w:szCs w:val="32"/>
          <w:lang w:eastAsia="zh-CN"/>
        </w:rPr>
        <w:t>5</w:t>
      </w:r>
      <w:r>
        <w:rPr>
          <w:rFonts w:hint="eastAsia" w:ascii="仿宋" w:hAnsi="仿宋" w:eastAsia="仿宋"/>
          <w:color w:val="000000"/>
          <w:sz w:val="32"/>
          <w:szCs w:val="32"/>
          <w:lang w:val="en-US" w:eastAsia="zh-Hans"/>
        </w:rPr>
        <w:t>月</w:t>
      </w:r>
      <w:r>
        <w:rPr>
          <w:rFonts w:hint="default" w:ascii="仿宋" w:hAnsi="仿宋" w:eastAsia="仿宋"/>
          <w:color w:val="000000"/>
          <w:sz w:val="32"/>
          <w:szCs w:val="32"/>
          <w:lang w:eastAsia="zh-Hans"/>
        </w:rPr>
        <w:t>25</w:t>
      </w:r>
      <w:r>
        <w:rPr>
          <w:rFonts w:hint="eastAsia" w:ascii="仿宋" w:hAnsi="仿宋" w:eastAsia="仿宋"/>
          <w:color w:val="000000"/>
          <w:sz w:val="32"/>
          <w:szCs w:val="32"/>
          <w:lang w:val="en-US" w:eastAsia="zh-Hans"/>
        </w:rPr>
        <w:t>日下午</w:t>
      </w:r>
      <w:r>
        <w:rPr>
          <w:rFonts w:hint="default" w:ascii="仿宋" w:hAnsi="仿宋" w:eastAsia="仿宋"/>
          <w:color w:val="000000"/>
          <w:sz w:val="32"/>
          <w:szCs w:val="32"/>
          <w:lang w:eastAsia="zh-Hans"/>
        </w:rPr>
        <w:t>，</w:t>
      </w:r>
      <w:bookmarkStart w:id="0" w:name="_GoBack"/>
      <w:bookmarkEnd w:id="0"/>
      <w:r>
        <w:rPr>
          <w:rFonts w:hint="eastAsia" w:ascii="仿宋" w:hAnsi="仿宋" w:eastAsia="仿宋"/>
          <w:color w:val="000000"/>
          <w:sz w:val="32"/>
          <w:szCs w:val="32"/>
          <w:lang w:val="en-US" w:eastAsia="zh-Hans"/>
        </w:rPr>
        <w:t>公共管理学院副院长姚军与城市管理系主任王妙妙到广州市城市管理综合执法局</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商谈“广东财经大学与广州市城市管理综合执法局合作框架协议”的具体落实工作</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以及就城市管理联盟的轮值单位工作计划的细节进行沟通</w:t>
      </w:r>
      <w:r>
        <w:rPr>
          <w:rFonts w:hint="default" w:ascii="仿宋" w:hAnsi="仿宋" w:eastAsia="仿宋"/>
          <w:color w:val="000000"/>
          <w:sz w:val="32"/>
          <w:szCs w:val="32"/>
          <w:lang w:eastAsia="zh-Hans"/>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olor w:val="000000"/>
          <w:sz w:val="32"/>
          <w:szCs w:val="32"/>
          <w:lang w:val="en-US" w:eastAsia="zh-CN"/>
        </w:rPr>
      </w:pPr>
      <w:r>
        <w:rPr>
          <w:rFonts w:hint="eastAsia" w:ascii="仿宋" w:hAnsi="仿宋" w:eastAsia="仿宋"/>
          <w:color w:val="000000"/>
          <w:sz w:val="32"/>
          <w:szCs w:val="32"/>
          <w:lang w:eastAsia="zh-CN"/>
        </w:rPr>
        <w:t>截止</w:t>
      </w:r>
      <w:r>
        <w:rPr>
          <w:rFonts w:hint="eastAsia" w:ascii="仿宋" w:hAnsi="仿宋" w:eastAsia="仿宋"/>
          <w:color w:val="000000"/>
          <w:sz w:val="32"/>
          <w:szCs w:val="32"/>
          <w:lang w:val="en-US" w:eastAsia="zh-CN"/>
        </w:rPr>
        <w:t>5月27日，</w:t>
      </w:r>
      <w:r>
        <w:rPr>
          <w:rFonts w:hint="eastAsia" w:ascii="仿宋" w:hAnsi="仿宋" w:eastAsia="仿宋"/>
          <w:color w:val="000000"/>
          <w:sz w:val="32"/>
          <w:szCs w:val="32"/>
          <w:lang w:eastAsia="zh-CN"/>
        </w:rPr>
        <w:t>经过一个多月的资料收集、汇总、整理，完成</w:t>
      </w:r>
      <w:r>
        <w:rPr>
          <w:rFonts w:hint="eastAsia" w:ascii="仿宋" w:hAnsi="仿宋" w:eastAsia="仿宋"/>
          <w:b/>
          <w:bCs/>
          <w:color w:val="000000"/>
          <w:sz w:val="32"/>
          <w:szCs w:val="32"/>
          <w:lang w:eastAsia="zh-CN"/>
        </w:rPr>
        <w:t>《</w:t>
      </w:r>
      <w:r>
        <w:rPr>
          <w:rFonts w:hint="eastAsia" w:ascii="仿宋" w:hAnsi="仿宋" w:eastAsia="仿宋"/>
          <w:b/>
          <w:bCs/>
          <w:color w:val="000000"/>
          <w:sz w:val="32"/>
          <w:szCs w:val="32"/>
          <w:lang w:val="en-US" w:eastAsia="zh-CN"/>
        </w:rPr>
        <w:t>2021年公共管理学院发展白皮书》</w:t>
      </w:r>
      <w:r>
        <w:rPr>
          <w:rFonts w:hint="eastAsia" w:ascii="仿宋" w:hAnsi="仿宋" w:eastAsia="仿宋"/>
          <w:b w:val="0"/>
          <w:bCs w:val="0"/>
          <w:color w:val="000000"/>
          <w:sz w:val="32"/>
          <w:szCs w:val="32"/>
          <w:lang w:val="en-US" w:eastAsia="zh-CN"/>
        </w:rPr>
        <w:t>的制作，</w:t>
      </w:r>
      <w:r>
        <w:rPr>
          <w:rFonts w:hint="eastAsia" w:ascii="仿宋" w:hAnsi="仿宋" w:eastAsia="仿宋"/>
          <w:color w:val="000000"/>
          <w:sz w:val="32"/>
          <w:szCs w:val="32"/>
          <w:lang w:val="en-US" w:eastAsia="zh-CN"/>
        </w:rPr>
        <w:t>分别对综合篇、教学篇、科研篇、学工篇、党建篇等进行重新修改，并装订成册。</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为进一步提升研究生培养质量，帮助2022级新生规划好即将到来的研究生生活，学院依据我校研究生院《关于开展2022级研究生新生提前培养工作的通知》相关要求，经由本学院研究生培养指导委员会审定，结合专业特色制定了</w:t>
      </w:r>
      <w:r>
        <w:rPr>
          <w:rFonts w:hint="eastAsia" w:ascii="仿宋" w:hAnsi="仿宋" w:eastAsia="仿宋"/>
          <w:b/>
          <w:bCs/>
          <w:color w:val="000000"/>
          <w:sz w:val="32"/>
          <w:szCs w:val="32"/>
          <w:lang w:eastAsia="zh-CN"/>
        </w:rPr>
        <w:t>《公共管理学院2022级MPA新生提前培养方案》</w:t>
      </w:r>
      <w:r>
        <w:rPr>
          <w:rFonts w:hint="eastAsia" w:ascii="仿宋" w:hAnsi="仿宋" w:eastAsia="仿宋"/>
          <w:color w:val="000000"/>
          <w:sz w:val="32"/>
          <w:szCs w:val="32"/>
          <w:lang w:eastAsia="zh-CN"/>
        </w:rPr>
        <w:t>。</w:t>
      </w:r>
    </w:p>
    <w:p>
      <w:pPr>
        <w:numPr>
          <w:ilvl w:val="0"/>
          <w:numId w:val="2"/>
        </w:numPr>
        <w:snapToGrid w:val="0"/>
        <w:spacing w:before="0" w:after="0" w:line="360" w:lineRule="auto"/>
        <w:ind w:left="0" w:leftChars="0" w:firstLine="416" w:firstLineChars="130"/>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学院组织开展学位论文非学术性错误检查，对74份学位论文逐一反馈修改意见，组织学生完成论文修改。</w:t>
      </w:r>
    </w:p>
    <w:p>
      <w:pPr>
        <w:numPr>
          <w:ilvl w:val="0"/>
          <w:numId w:val="2"/>
        </w:numPr>
        <w:snapToGrid w:val="0"/>
        <w:spacing w:before="0" w:after="0" w:line="360" w:lineRule="auto"/>
        <w:ind w:left="0" w:leftChars="0" w:firstLine="419" w:firstLineChars="131"/>
        <w:jc w:val="both"/>
        <w:rPr>
          <w:rFonts w:ascii="仿宋" w:hAnsi="仿宋" w:eastAsia="仿宋"/>
          <w:color w:val="000000"/>
          <w:sz w:val="32"/>
          <w:szCs w:val="32"/>
        </w:rPr>
      </w:pPr>
      <w:r>
        <w:rPr>
          <w:rFonts w:hint="default" w:ascii="仿宋" w:hAnsi="仿宋" w:eastAsia="仿宋"/>
          <w:color w:val="000000"/>
          <w:sz w:val="32"/>
          <w:szCs w:val="32"/>
        </w:rPr>
        <w:t>MPA</w:t>
      </w:r>
      <w:r>
        <w:rPr>
          <w:rFonts w:hint="eastAsia" w:ascii="仿宋" w:hAnsi="仿宋" w:eastAsia="仿宋"/>
          <w:color w:val="000000"/>
          <w:sz w:val="32"/>
          <w:szCs w:val="32"/>
          <w:lang w:val="en-US" w:eastAsia="zh-Hans"/>
        </w:rPr>
        <w:t>导师组对</w:t>
      </w:r>
      <w:r>
        <w:rPr>
          <w:rFonts w:hint="default" w:ascii="仿宋" w:hAnsi="仿宋" w:eastAsia="仿宋"/>
          <w:color w:val="000000"/>
          <w:sz w:val="32"/>
          <w:szCs w:val="32"/>
          <w:lang w:eastAsia="zh-Hans"/>
        </w:rPr>
        <w:t>2022</w:t>
      </w:r>
      <w:r>
        <w:rPr>
          <w:rFonts w:hint="eastAsia" w:ascii="仿宋" w:hAnsi="仿宋" w:eastAsia="仿宋"/>
          <w:color w:val="000000"/>
          <w:sz w:val="32"/>
          <w:szCs w:val="32"/>
          <w:lang w:val="en-US" w:eastAsia="zh-Hans"/>
        </w:rPr>
        <w:t>年招生满</w:t>
      </w:r>
      <w:r>
        <w:rPr>
          <w:rFonts w:hint="default" w:ascii="仿宋" w:hAnsi="仿宋" w:eastAsia="仿宋"/>
          <w:color w:val="000000"/>
          <w:sz w:val="32"/>
          <w:szCs w:val="32"/>
          <w:lang w:eastAsia="zh-Hans"/>
        </w:rPr>
        <w:t>3</w:t>
      </w:r>
      <w:r>
        <w:rPr>
          <w:rFonts w:hint="eastAsia" w:ascii="仿宋" w:hAnsi="仿宋" w:eastAsia="仿宋"/>
          <w:color w:val="000000"/>
          <w:sz w:val="32"/>
          <w:szCs w:val="32"/>
          <w:lang w:val="en-US" w:eastAsia="zh-Hans"/>
        </w:rPr>
        <w:t>年的导师进行招生资格审查工作</w:t>
      </w:r>
      <w:r>
        <w:rPr>
          <w:rFonts w:hint="default" w:ascii="仿宋" w:hAnsi="仿宋" w:eastAsia="仿宋"/>
          <w:color w:val="000000"/>
          <w:sz w:val="32"/>
          <w:szCs w:val="32"/>
          <w:lang w:eastAsia="zh-Hans"/>
        </w:rPr>
        <w:t>。</w:t>
      </w:r>
    </w:p>
    <w:p>
      <w:pPr>
        <w:numPr>
          <w:ilvl w:val="0"/>
          <w:numId w:val="2"/>
        </w:numPr>
        <w:snapToGrid w:val="0"/>
        <w:spacing w:before="0" w:after="0" w:line="360" w:lineRule="auto"/>
        <w:ind w:left="0" w:leftChars="0" w:firstLine="419" w:firstLineChars="131"/>
        <w:jc w:val="both"/>
        <w:rPr>
          <w:rFonts w:ascii="仿宋" w:hAnsi="仿宋" w:eastAsia="仿宋"/>
          <w:color w:val="000000"/>
          <w:sz w:val="32"/>
          <w:szCs w:val="32"/>
        </w:rPr>
      </w:pPr>
      <w:r>
        <w:rPr>
          <w:rFonts w:ascii="仿宋" w:hAnsi="仿宋" w:eastAsia="仿宋"/>
          <w:color w:val="000000"/>
          <w:sz w:val="32"/>
          <w:szCs w:val="32"/>
        </w:rPr>
        <w:t>组织开展2022年研究生中期考核工作。</w:t>
      </w:r>
    </w:p>
    <w:p>
      <w:pPr>
        <w:pStyle w:val="2"/>
        <w:rPr>
          <w:rFonts w:hint="eastAsia"/>
          <w:lang w:eastAsia="zh-CN"/>
        </w:rPr>
      </w:pPr>
    </w:p>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bullet"/>
      <w:lvlText w:val=""/>
      <w:lvlJc w:val="left"/>
      <w:pPr>
        <w:ind w:left="420" w:hanging="420"/>
      </w:pPr>
      <w:rPr>
        <w:rFonts w:hint="default" w:ascii="Wingdings" w:hAnsi="Wingdings" w:eastAsia="Wingdings"/>
        <w:bCs/>
      </w:rPr>
    </w:lvl>
  </w:abstractNum>
  <w:abstractNum w:abstractNumId="1">
    <w:nsid w:val="42B3B648"/>
    <w:multiLevelType w:val="singleLevel"/>
    <w:tmpl w:val="42B3B648"/>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OGY4MTNjNjE2M2Q2NmNkOTVjNTkwOGYwZWRjZTUifQ=="/>
  </w:docVars>
  <w:rsids>
    <w:rsidRoot w:val="66BC6E6D"/>
    <w:rsid w:val="070047B1"/>
    <w:rsid w:val="0B043F8B"/>
    <w:rsid w:val="0BAC71B1"/>
    <w:rsid w:val="0F7A534C"/>
    <w:rsid w:val="118737CD"/>
    <w:rsid w:val="11C07F7F"/>
    <w:rsid w:val="1A614E9E"/>
    <w:rsid w:val="1FF335AB"/>
    <w:rsid w:val="22EC43C9"/>
    <w:rsid w:val="2EA25342"/>
    <w:rsid w:val="323F14D3"/>
    <w:rsid w:val="34437A7B"/>
    <w:rsid w:val="37133F5E"/>
    <w:rsid w:val="4CBC40C3"/>
    <w:rsid w:val="563572F6"/>
    <w:rsid w:val="66BC6E6D"/>
    <w:rsid w:val="690B2E56"/>
    <w:rsid w:val="7BBF13B3"/>
    <w:rsid w:val="EBDD54A2"/>
    <w:rsid w:val="ED3DF4B5"/>
    <w:rsid w:val="FF5F0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2402</Words>
  <Characters>2521</Characters>
  <Lines>0</Lines>
  <Paragraphs>0</Paragraphs>
  <TotalTime>57</TotalTime>
  <ScaleCrop>false</ScaleCrop>
  <LinksUpToDate>false</LinksUpToDate>
  <CharactersWithSpaces>2522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2022-04-22T16:58:00Z</dcterms:created>
  <dc:creator>曾华强(19951522)</dc:creator>
  <cp:lastModifiedBy>曾华强</cp:lastModifiedBy>
  <cp:lastPrinted>2022-04-22T17:19:00Z</cp:lastPrinted>
  <dcterms:modified xsi:type="dcterms:W3CDTF">2022-05-30T00:54:26Z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2FB71BE41D8E476BA9D8F8A2FC428594</vt:lpwstr>
  </property>
  <property fmtid="{D5CDD505-2E9C-101B-9397-08002B2CF9AE}" pid="4" name="commondata">
    <vt:lpwstr>eyJoZGlkIjoiMWNkOGY4MTNjNjE2M2Q2NmNkOTVjNTkwOGYwZWRjZTUifQ==</vt:lpwstr>
  </property>
</Properties>
</file>