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pPr w:leftFromText="180" w:rightFromText="180" w:vertAnchor="page" w:horzAnchor="page" w:tblpXSpec="center" w:tblpY="1083"/>
        <w:tblOverlap w:val="never"/>
        <w:tblW w:w="86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8620" w:type="dxa"/>
            <w:gridSpan w:val="2"/>
            <w:tcBorders>
              <w:tl2br w:val="nil"/>
              <w:tr2bl w:val="nil"/>
            </w:tcBorders>
            <w:shd w:val="clear" w:color="auto" w:fill="auto"/>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shd w:val="clear" w:color="auto" w:fill="auto"/>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2022年第</w:t>
            </w:r>
            <w:r>
              <w:rPr>
                <w:rFonts w:hint="eastAsia" w:ascii="方正小标宋简体" w:hAnsi="方正小标宋简体" w:eastAsia="方正小标宋简体" w:cs="方正小标宋简体"/>
                <w:b/>
                <w:bCs/>
                <w:color w:val="000000"/>
                <w:spacing w:val="0"/>
                <w:sz w:val="36"/>
                <w:szCs w:val="36"/>
                <w:lang w:val="en-US" w:eastAsia="zh-CN"/>
              </w:rPr>
              <w:t>7</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shd w:val="clear" w:color="auto" w:fill="auto"/>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shd w:val="clear" w:color="auto" w:fill="auto"/>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2022年5</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13</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shd w:val="clear" w:color="auto" w:fill="auto"/>
            <w:vAlign w:val="top"/>
          </w:tcPr>
          <w:p>
            <w: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1"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2pt;margin-top:1.85pt;height:2.25pt;width:429.75pt;z-index:251660288;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Dvq1o3/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ENTgIlhmls+O2n&#10;7z8/fvn14zOut9++kmkUaXBQYeyV2fnzDtzOR8bH1uv4Ry7kiDAXebm4KCg51XQ2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76taN/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疫情防控</w:t>
      </w:r>
      <w:r>
        <w:rPr>
          <w:rFonts w:hint="eastAsia" w:ascii="华文中宋" w:hAnsi="华文中宋" w:eastAsia="华文中宋" w:cs="华文中宋"/>
          <w:b/>
          <w:bCs/>
          <w:color w:val="000000"/>
          <w:sz w:val="40"/>
          <w:szCs w:val="40"/>
          <w:lang w:eastAsia="zh-CN"/>
        </w:rPr>
        <w:t>】</w:t>
      </w:r>
    </w:p>
    <w:p>
      <w:pPr>
        <w:snapToGrid w:val="0"/>
        <w:spacing w:before="0" w:after="0" w:line="240" w:lineRule="auto"/>
        <w:ind w:right="0"/>
        <w:jc w:val="both"/>
        <w:rPr>
          <w:rFonts w:ascii="仿宋" w:hAnsi="仿宋" w:eastAsia="仿宋"/>
          <w:color w:val="000000"/>
          <w:sz w:val="28"/>
          <w:szCs w:val="28"/>
        </w:rPr>
      </w:pP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84"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配合学校每天做好重点区域旅居史排查工作、及时报送相关师生数据，改进学生每日健康打卡督促方式，保证健康打卡率100%，实时关注各年级学生健康情况。</w:t>
      </w:r>
      <w:r>
        <w:rPr>
          <w:rFonts w:ascii="仿宋" w:hAnsi="仿宋" w:eastAsia="仿宋"/>
          <w:color w:val="000000"/>
          <w:sz w:val="32"/>
          <w:szCs w:val="32"/>
        </w:rPr>
        <w:t>截止5月10日，全院本科学生广州校区已返校578人，因疫情暂缓共71人，毕业班实习暂缓146人,其他情况请假6人；佛山校区已返校880人，因疫情暂缓2人，其他情况请假2人。</w:t>
      </w:r>
      <w:r>
        <w:rPr>
          <w:rFonts w:ascii="仿宋" w:hAnsi="仿宋" w:eastAsia="仿宋"/>
          <w:b/>
          <w:bCs/>
          <w:color w:val="000000"/>
          <w:sz w:val="32"/>
          <w:szCs w:val="32"/>
        </w:rPr>
        <w:t>“新冠”疫苗加强针接种情况</w:t>
      </w:r>
      <w:r>
        <w:rPr>
          <w:rFonts w:ascii="仿宋" w:hAnsi="仿宋" w:eastAsia="仿宋"/>
          <w:color w:val="000000"/>
          <w:sz w:val="32"/>
          <w:szCs w:val="32"/>
        </w:rPr>
        <w:t>，广州校区到期781人，完成777人，</w:t>
      </w:r>
      <w:r>
        <w:rPr>
          <w:rFonts w:ascii="仿宋" w:hAnsi="仿宋" w:eastAsia="仿宋"/>
          <w:b/>
          <w:bCs/>
          <w:color w:val="000000"/>
          <w:sz w:val="32"/>
          <w:szCs w:val="32"/>
        </w:rPr>
        <w:t>接种率99.5%</w:t>
      </w:r>
      <w:r>
        <w:rPr>
          <w:rFonts w:ascii="仿宋" w:hAnsi="仿宋" w:eastAsia="仿宋"/>
          <w:color w:val="000000"/>
          <w:sz w:val="32"/>
          <w:szCs w:val="32"/>
        </w:rPr>
        <w:t>；佛山校区到期873，完成812人，</w:t>
      </w:r>
      <w:r>
        <w:rPr>
          <w:rFonts w:ascii="仿宋" w:hAnsi="仿宋" w:eastAsia="仿宋"/>
          <w:b/>
          <w:bCs/>
          <w:color w:val="000000"/>
          <w:sz w:val="32"/>
          <w:szCs w:val="32"/>
        </w:rPr>
        <w:t>接种完成率93%</w:t>
      </w:r>
      <w:r>
        <w:rPr>
          <w:rFonts w:ascii="仿宋" w:hAnsi="仿宋" w:eastAsia="仿宋"/>
          <w:color w:val="000000"/>
          <w:sz w:val="32"/>
          <w:szCs w:val="32"/>
        </w:rPr>
        <w:t>。配合学校每天做好重点区域旅居史排查工作、及时报送相关学生数据，按要求安排涉疫区域学生实行相关隔离检测措施；实时关注各年级学生健康情况，配合学校防疫管理，严格学生出入校审批程序。5月10日,配合属地学校工作部署，组织广州校区全员在校学生核酸检测，完成率100%。5月11日，配合学工部防疫工作安排，完成对学生宿舍21栋、22栋，防疫安全工作紧急演练。</w:t>
      </w:r>
    </w:p>
    <w:p>
      <w:pPr>
        <w:keepNext w:val="0"/>
        <w:keepLines w:val="0"/>
        <w:widowControl/>
        <w:suppressLineNumbers w:val="0"/>
        <w:jc w:val="left"/>
        <w:rPr>
          <w:sz w:val="32"/>
          <w:szCs w:val="32"/>
        </w:rPr>
      </w:pP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84" w:leftChars="0" w:firstLine="430" w:firstLineChars="0"/>
        <w:jc w:val="both"/>
        <w:textAlignment w:val="auto"/>
        <w:rPr>
          <w:rFonts w:hint="eastAsia" w:ascii="仿宋" w:hAnsi="仿宋" w:eastAsia="仿宋"/>
          <w:color w:val="000000"/>
          <w:sz w:val="32"/>
          <w:szCs w:val="32"/>
        </w:rPr>
      </w:pPr>
      <w:r>
        <w:rPr>
          <w:rFonts w:ascii="仿宋" w:hAnsi="仿宋" w:eastAsia="仿宋"/>
          <w:color w:val="000000"/>
          <w:sz w:val="32"/>
          <w:szCs w:val="32"/>
        </w:rPr>
        <w:t>根据上级和学校疫情防控要求，督促学院全体师生按要求参加核酸检测，做到应测尽测、应检尽检，不留死角、不漏一人。自觉压实主体责任，严格落实学校疫情防控工作要求，做好核酸检测组织动员和统计工作。配合学校每天做好重点区域旅居史排查工作、及时报送相关师学数据。截止5月13日，</w:t>
      </w:r>
      <w:r>
        <w:rPr>
          <w:rFonts w:ascii="仿宋" w:hAnsi="仿宋" w:eastAsia="仿宋"/>
          <w:b/>
          <w:bCs/>
          <w:color w:val="auto"/>
          <w:sz w:val="32"/>
          <w:szCs w:val="32"/>
        </w:rPr>
        <w:t>教职工“新冠”疫苗加强针接种情况</w:t>
      </w:r>
      <w:r>
        <w:rPr>
          <w:rFonts w:ascii="仿宋" w:hAnsi="仿宋" w:eastAsia="仿宋"/>
          <w:color w:val="000000"/>
          <w:sz w:val="32"/>
          <w:szCs w:val="32"/>
        </w:rPr>
        <w:t>：9位老师从没接种，1位老师已接种第一针，6位老师已接种第二针，50位老师已接种第三针（应该要接种第三针的老师是55位，但由于身体原因，有5位老师没有接种第三针）。</w:t>
      </w:r>
    </w:p>
    <w:p>
      <w:pPr>
        <w:pStyle w:val="4"/>
        <w:rPr>
          <w:rFonts w:hint="eastAsia"/>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党建思政</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84" w:leftChars="0" w:firstLine="430" w:firstLineChars="0"/>
        <w:jc w:val="both"/>
        <w:textAlignment w:val="auto"/>
        <w:rPr>
          <w:rFonts w:hint="default" w:ascii="仿宋" w:hAnsi="仿宋" w:eastAsia="仿宋" w:cstheme="minorBidi"/>
          <w:color w:val="000000"/>
          <w:kern w:val="2"/>
          <w:sz w:val="32"/>
          <w:szCs w:val="32"/>
          <w:lang w:val="en-US" w:eastAsia="zh-CN" w:bidi="ar-SA"/>
        </w:rPr>
      </w:pPr>
      <w:r>
        <w:rPr>
          <w:rFonts w:ascii="仿宋" w:hAnsi="仿宋" w:eastAsia="仿宋"/>
          <w:color w:val="000000"/>
          <w:sz w:val="32"/>
          <w:szCs w:val="32"/>
        </w:rPr>
        <w:t>学院学生党支部本学期党员发展对象遴选工作，依照党章并结合学院党员发展与培养的相关规定，在满足基本条件的同时遵循“优中选优”的原则，对积极分子进行全面综合考察、选拔发展。 目前学生各支部已完成支部重点发展对象遴选，进入公示阶段。上半年考察期满，预备党员转正工作，各支部正在接收、审核预备员转正材料，并同步进行群众意见调查。</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84" w:leftChars="0" w:firstLine="430" w:firstLineChars="0"/>
        <w:jc w:val="both"/>
        <w:textAlignment w:val="auto"/>
        <w:rPr>
          <w:rFonts w:hint="default" w:ascii="仿宋" w:hAnsi="仿宋" w:eastAsia="仿宋"/>
          <w:color w:val="000000"/>
          <w:sz w:val="32"/>
          <w:szCs w:val="32"/>
          <w:lang w:val="en-US" w:eastAsia="zh-CN"/>
        </w:rPr>
      </w:pPr>
      <w:r>
        <w:rPr>
          <w:rFonts w:hint="eastAsia" w:ascii="仿宋" w:hAnsi="仿宋" w:eastAsia="仿宋"/>
          <w:color w:val="000000"/>
          <w:sz w:val="32"/>
          <w:szCs w:val="32"/>
          <w:lang w:eastAsia="zh-CN"/>
        </w:rPr>
        <w:t>5月6日召开党委会，学习了第一议题，专题讨论2022届毕业生就业工作。1.做好“三个一”工作：一是“谈一次心”。因势利导，引导毕业生调整就业心态及就业期望值；二是“作一次就业简历指导”。提升就业简历质量，以利于获得面试机会；三是“作一次面试指导”。提升面试技巧，以利于获得就业机会。2.拓宽就业渠道。一是访企拓岗。已访的三家企业共提供就业机会30余个。二是充分挖掘对接校友企业，主动将毕业生简历收集投递给校友企业，“推销”我们的毕业生。3.推动积极就业。鼓励毕业生积极就业，多投简历，以便获得更多面试机会。面对疫情形势推动毕业生尽快与公司签订三方协议，以防就业单位随意变更岗位人选，保障毕业生权益及就业。此外，对于学生所在实习单位没有给出明确就业承诺能在实习结束后签订三方协议或者拿到毕业证、学位证后签订劳动合同的，我们建议学生及时转变方向，把重心放在求职应聘上，优先考虑能签订三方协议或劳动合同的企业上。4.积极引导毕业生应征入伍和到基层就业。做好毕业生征兵动员、宣传；积极引导毕业生参加“西部计划”、“三支一扶”以及“乡村振兴”志愿服务。5.家庭经济困难毕业生实行“一对一”帮扶。安排教工支部书记、党员、教授与家庭经济学生结对，进行“一对一”指导就业或推荐就业。</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84" w:leftChars="0" w:firstLine="430" w:firstLineChars="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完成</w:t>
      </w:r>
      <w:r>
        <w:rPr>
          <w:rFonts w:hint="eastAsia" w:ascii="仿宋_GB2312" w:hAnsi="仿宋_GB2312" w:eastAsia="仿宋_GB2312" w:cs="仿宋_GB2312"/>
          <w:sz w:val="32"/>
          <w:szCs w:val="32"/>
          <w:u w:val="none"/>
        </w:rPr>
        <w:fldChar w:fldCharType="begin"/>
      </w:r>
      <w:r>
        <w:rPr>
          <w:rFonts w:hint="eastAsia" w:ascii="仿宋_GB2312" w:hAnsi="仿宋_GB2312" w:eastAsia="仿宋_GB2312" w:cs="仿宋_GB2312"/>
          <w:sz w:val="32"/>
          <w:szCs w:val="32"/>
          <w:u w:val="none"/>
        </w:rPr>
        <w:instrText xml:space="preserve"> HYPERLINK "" \h </w:instrText>
      </w:r>
      <w:r>
        <w:rPr>
          <w:rFonts w:hint="eastAsia" w:ascii="仿宋_GB2312" w:hAnsi="仿宋_GB2312" w:eastAsia="仿宋_GB2312" w:cs="仿宋_GB2312"/>
          <w:sz w:val="32"/>
          <w:szCs w:val="32"/>
          <w:u w:val="none"/>
        </w:rPr>
        <w:fldChar w:fldCharType="separate"/>
      </w:r>
      <w:r>
        <w:rPr>
          <w:rFonts w:hint="eastAsia" w:ascii="仿宋_GB2312" w:hAnsi="仿宋_GB2312" w:eastAsia="仿宋_GB2312" w:cs="仿宋_GB2312"/>
          <w:color w:val="000000"/>
          <w:sz w:val="32"/>
          <w:szCs w:val="32"/>
          <w:u w:val="none"/>
        </w:rPr>
        <w:t>2022届本科生</w:t>
      </w:r>
      <w:r>
        <w:rPr>
          <w:rFonts w:hint="eastAsia" w:ascii="仿宋_GB2312" w:hAnsi="仿宋_GB2312" w:eastAsia="仿宋_GB2312" w:cs="仿宋_GB2312"/>
          <w:color w:val="000000"/>
          <w:sz w:val="32"/>
          <w:szCs w:val="32"/>
          <w:u w:val="none"/>
        </w:rPr>
        <w:fldChar w:fldCharType="end"/>
      </w:r>
      <w:r>
        <w:rPr>
          <w:rFonts w:hint="eastAsia" w:ascii="仿宋_GB2312" w:hAnsi="仿宋_GB2312" w:eastAsia="仿宋_GB2312" w:cs="仿宋_GB2312"/>
          <w:color w:val="000000"/>
          <w:sz w:val="32"/>
          <w:szCs w:val="32"/>
          <w:u w:val="none"/>
        </w:rPr>
        <w:t>毕业实习</w:t>
      </w:r>
      <w:r>
        <w:rPr>
          <w:rFonts w:hint="eastAsia" w:ascii="仿宋_GB2312" w:hAnsi="仿宋_GB2312" w:eastAsia="仿宋_GB2312" w:cs="仿宋_GB2312"/>
          <w:sz w:val="32"/>
          <w:szCs w:val="32"/>
          <w:u w:val="none"/>
        </w:rPr>
        <w:fldChar w:fldCharType="begin"/>
      </w:r>
      <w:r>
        <w:rPr>
          <w:rFonts w:hint="eastAsia" w:ascii="仿宋_GB2312" w:hAnsi="仿宋_GB2312" w:eastAsia="仿宋_GB2312" w:cs="仿宋_GB2312"/>
          <w:sz w:val="32"/>
          <w:szCs w:val="32"/>
          <w:u w:val="none"/>
        </w:rPr>
        <w:instrText xml:space="preserve"> HYPERLINK "" \h </w:instrText>
      </w:r>
      <w:r>
        <w:rPr>
          <w:rFonts w:hint="eastAsia" w:ascii="仿宋_GB2312" w:hAnsi="仿宋_GB2312" w:eastAsia="仿宋_GB2312" w:cs="仿宋_GB2312"/>
          <w:sz w:val="32"/>
          <w:szCs w:val="32"/>
          <w:u w:val="none"/>
        </w:rPr>
        <w:fldChar w:fldCharType="separate"/>
      </w:r>
      <w:r>
        <w:rPr>
          <w:rFonts w:hint="eastAsia" w:ascii="仿宋_GB2312" w:hAnsi="仿宋_GB2312" w:eastAsia="仿宋_GB2312" w:cs="仿宋_GB2312"/>
          <w:color w:val="000000"/>
          <w:sz w:val="32"/>
          <w:szCs w:val="32"/>
          <w:u w:val="none"/>
        </w:rPr>
        <w:t>、</w:t>
      </w:r>
      <w:r>
        <w:rPr>
          <w:rFonts w:hint="eastAsia" w:ascii="仿宋_GB2312" w:hAnsi="仿宋_GB2312" w:eastAsia="仿宋_GB2312" w:cs="仿宋_GB2312"/>
          <w:color w:val="000000"/>
          <w:sz w:val="32"/>
          <w:szCs w:val="32"/>
          <w:u w:val="none"/>
        </w:rPr>
        <w:fldChar w:fldCharType="end"/>
      </w:r>
      <w:r>
        <w:rPr>
          <w:rFonts w:hint="eastAsia" w:ascii="仿宋_GB2312" w:hAnsi="仿宋_GB2312" w:eastAsia="仿宋_GB2312" w:cs="仿宋_GB2312"/>
          <w:color w:val="000000"/>
          <w:sz w:val="32"/>
          <w:szCs w:val="32"/>
          <w:u w:val="none"/>
        </w:rPr>
        <w:t>毕业论文成绩录入</w:t>
      </w:r>
      <w:r>
        <w:rPr>
          <w:rFonts w:hint="eastAsia" w:ascii="仿宋_GB2312" w:hAnsi="仿宋_GB2312" w:eastAsia="仿宋_GB2312" w:cs="仿宋_GB2312"/>
          <w:sz w:val="32"/>
          <w:szCs w:val="32"/>
          <w:u w:val="none"/>
        </w:rPr>
        <w:fldChar w:fldCharType="begin"/>
      </w:r>
      <w:r>
        <w:rPr>
          <w:rFonts w:hint="eastAsia" w:ascii="仿宋_GB2312" w:hAnsi="仿宋_GB2312" w:eastAsia="仿宋_GB2312" w:cs="仿宋_GB2312"/>
          <w:sz w:val="32"/>
          <w:szCs w:val="32"/>
          <w:u w:val="none"/>
        </w:rPr>
        <w:instrText xml:space="preserve"> HYPERLINK "" \h </w:instrText>
      </w:r>
      <w:r>
        <w:rPr>
          <w:rFonts w:hint="eastAsia" w:ascii="仿宋_GB2312" w:hAnsi="仿宋_GB2312" w:eastAsia="仿宋_GB2312" w:cs="仿宋_GB2312"/>
          <w:sz w:val="32"/>
          <w:szCs w:val="32"/>
          <w:u w:val="none"/>
        </w:rPr>
        <w:fldChar w:fldCharType="separate"/>
      </w:r>
      <w:r>
        <w:rPr>
          <w:rFonts w:hint="eastAsia" w:ascii="仿宋_GB2312" w:hAnsi="仿宋_GB2312" w:eastAsia="仿宋_GB2312" w:cs="仿宋_GB2312"/>
          <w:color w:val="000000"/>
          <w:sz w:val="32"/>
          <w:szCs w:val="32"/>
          <w:u w:val="none"/>
        </w:rPr>
        <w:t>及优秀毕业论文评选</w:t>
      </w:r>
      <w:r>
        <w:rPr>
          <w:rFonts w:hint="eastAsia" w:ascii="仿宋_GB2312" w:hAnsi="仿宋_GB2312" w:eastAsia="仿宋_GB2312" w:cs="仿宋_GB2312"/>
          <w:color w:val="000000"/>
          <w:sz w:val="32"/>
          <w:szCs w:val="32"/>
          <w:u w:val="none"/>
        </w:rPr>
        <w:fldChar w:fldCharType="end"/>
      </w:r>
      <w:r>
        <w:rPr>
          <w:rFonts w:hint="eastAsia" w:ascii="仿宋_GB2312" w:hAnsi="仿宋_GB2312" w:eastAsia="仿宋_GB2312" w:cs="仿宋_GB2312"/>
          <w:color w:val="000000"/>
          <w:sz w:val="32"/>
          <w:szCs w:val="32"/>
        </w:rPr>
        <w:t>工作，组织做好夏季毕业及学位授予审核工作。组织2021-2022学年第二学期补缓考工作，配合教务处完成“形势与政策”课程11-16周教学安排和新增通识选修课的系统录入。完成2021级学生《思想政治综合实践》课程学费缴纳，加强学生申请课程替代相关手续的审核。完成本学期学业导师系统录入上报。协调各系审定课程教材归属，落实系主任对本系课程教材的精准审核要求。</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84" w:leftChars="0" w:firstLine="430" w:firstLineChars="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2022年5月6日下午，姚军和各系主任召开学科建设与各专业人才培养方案研修讨论会，主要围绕学校数字治理交叉学科建设规划关于本专业发展方向、特色及科研团队建设的工作思路。1、</w:t>
      </w:r>
      <w:r>
        <w:rPr>
          <w:rFonts w:hint="eastAsia" w:ascii="仿宋_GB2312" w:hAnsi="仿宋_GB2312" w:eastAsia="仿宋_GB2312" w:cs="仿宋_GB2312"/>
          <w:b/>
          <w:bCs/>
          <w:color w:val="000000"/>
          <w:sz w:val="32"/>
          <w:szCs w:val="32"/>
        </w:rPr>
        <w:t>专业建设：</w:t>
      </w:r>
      <w:r>
        <w:rPr>
          <w:rFonts w:hint="eastAsia" w:ascii="仿宋_GB2312" w:hAnsi="仿宋_GB2312" w:eastAsia="仿宋_GB2312" w:cs="仿宋_GB2312"/>
          <w:color w:val="000000"/>
          <w:sz w:val="32"/>
          <w:szCs w:val="32"/>
        </w:rPr>
        <w:t>围绕数字治理凸显各专业建设特色；2、</w:t>
      </w:r>
      <w:r>
        <w:rPr>
          <w:rFonts w:hint="eastAsia" w:ascii="仿宋_GB2312" w:hAnsi="仿宋_GB2312" w:eastAsia="仿宋_GB2312" w:cs="仿宋_GB2312"/>
          <w:b/>
          <w:bCs/>
          <w:color w:val="000000"/>
          <w:sz w:val="32"/>
          <w:szCs w:val="32"/>
        </w:rPr>
        <w:t>科研团队建设：</w:t>
      </w:r>
      <w:r>
        <w:rPr>
          <w:rFonts w:hint="eastAsia" w:ascii="仿宋_GB2312" w:hAnsi="仿宋_GB2312" w:eastAsia="仿宋_GB2312" w:cs="仿宋_GB2312"/>
          <w:color w:val="000000"/>
          <w:sz w:val="32"/>
          <w:szCs w:val="32"/>
        </w:rPr>
        <w:t>整合科研资源，聚焦数字赋能治理，打造科研团队；3、</w:t>
      </w:r>
      <w:r>
        <w:rPr>
          <w:rFonts w:hint="eastAsia" w:ascii="仿宋_GB2312" w:hAnsi="仿宋_GB2312" w:eastAsia="仿宋_GB2312" w:cs="仿宋_GB2312"/>
          <w:b/>
          <w:bCs/>
          <w:color w:val="000000"/>
          <w:sz w:val="32"/>
          <w:szCs w:val="32"/>
        </w:rPr>
        <w:t>人才培养方案</w:t>
      </w:r>
      <w:r>
        <w:rPr>
          <w:rFonts w:hint="eastAsia" w:ascii="仿宋_GB2312" w:hAnsi="仿宋_GB2312" w:eastAsia="仿宋_GB2312" w:cs="仿宋_GB2312"/>
          <w:color w:val="000000"/>
          <w:sz w:val="32"/>
          <w:szCs w:val="32"/>
        </w:rPr>
        <w:t>：在人才培养目标、培养方向、课程设置体系嵌入、融合、体现“数字治理”的知识理论传授、专业技能培育等内容和课程；4、</w:t>
      </w:r>
      <w:r>
        <w:rPr>
          <w:rFonts w:hint="eastAsia" w:ascii="仿宋_GB2312" w:hAnsi="仿宋_GB2312" w:eastAsia="仿宋_GB2312" w:cs="仿宋_GB2312"/>
          <w:b/>
          <w:bCs/>
          <w:color w:val="000000"/>
          <w:sz w:val="32"/>
          <w:szCs w:val="32"/>
        </w:rPr>
        <w:t>借力校外资源：</w:t>
      </w:r>
      <w:r>
        <w:rPr>
          <w:rFonts w:hint="eastAsia" w:ascii="仿宋_GB2312" w:hAnsi="仿宋_GB2312" w:eastAsia="仿宋_GB2312" w:cs="仿宋_GB2312"/>
          <w:color w:val="000000"/>
          <w:sz w:val="32"/>
          <w:szCs w:val="32"/>
        </w:rPr>
        <w:t>积极拓展公共管理数字资源，尤其是与广州市政务服务数据管理局、广州市政数局、广州市规划和自然资源局、广州市城市管理和综合执法局等相关单位的紧密合作；5、</w:t>
      </w:r>
      <w:r>
        <w:rPr>
          <w:rFonts w:hint="eastAsia" w:ascii="仿宋_GB2312" w:hAnsi="仿宋_GB2312" w:eastAsia="仿宋_GB2312" w:cs="仿宋_GB2312"/>
          <w:b/>
          <w:bCs/>
          <w:color w:val="000000"/>
          <w:sz w:val="32"/>
          <w:szCs w:val="32"/>
        </w:rPr>
        <w:t>上升规划高度：</w:t>
      </w:r>
      <w:r>
        <w:rPr>
          <w:rFonts w:hint="eastAsia" w:ascii="仿宋_GB2312" w:hAnsi="仿宋_GB2312" w:eastAsia="仿宋_GB2312" w:cs="仿宋_GB2312"/>
          <w:color w:val="000000"/>
          <w:sz w:val="32"/>
          <w:szCs w:val="32"/>
        </w:rPr>
        <w:t>上升到学院规划高度。把“数字公共治理学科”方向现已写入了广东财经大学公共管理学院十四五发展规划和公共管理学科十四五发展规划中，学院已决定把学院学科建设经费的50%以上的经费用于支持“数字公共治理学科”方向发展。</w:t>
      </w:r>
      <w:r>
        <w:rPr>
          <w:rFonts w:hint="eastAsia" w:ascii="仿宋_GB2312" w:hAnsi="仿宋_GB2312" w:eastAsia="仿宋_GB2312" w:cs="仿宋_GB2312"/>
          <w:color w:val="000000"/>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84" w:leftChars="0" w:firstLine="430" w:firstLineChars="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不断完善各专业实践教学体系建设。新增“佛山市三水区力工社会工作服务中心”大学生校外实践教学基地。2022年5月10日与中海发展（广州）有限公司人事行政部高级人力资源经理高若晴、招聘经理徐舒慧、培训经理李晟娉就学院相关专业校外实践基地建设、实践教学开展与改革进行线上会议交流，共同商讨后续深度合作模式及合作内容。</w:t>
      </w:r>
    </w:p>
    <w:p>
      <w:pPr>
        <w:pStyle w:val="2"/>
        <w:rPr>
          <w:rFonts w:hint="eastAsia"/>
          <w:lang w:eastAsia="zh-CN"/>
        </w:rPr>
      </w:pPr>
      <w:r>
        <w:rPr>
          <w:rFonts w:ascii="仿宋" w:hAnsi="仿宋" w:eastAsia="仿宋"/>
          <w:color w:val="000000"/>
          <w:sz w:val="32"/>
          <w:szCs w:val="32"/>
        </w:rPr>
        <w:drawing>
          <wp:inline distT="0" distB="0" distL="0" distR="0">
            <wp:extent cx="4714875" cy="24098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rcRect t="31989" r="402"/>
                    <a:stretch>
                      <a:fillRect/>
                    </a:stretch>
                  </pic:blipFill>
                  <pic:spPr>
                    <a:xfrm>
                      <a:off x="0" y="0"/>
                      <a:ext cx="4714894" cy="2409833"/>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84" w:leftChars="0" w:firstLine="430" w:firstLineChars="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在全国公共管理专业学位研究生（MPA）教育指导委员会于2021年开展了第三届全国优秀MPA教师和教育工作者的评选活动中</w:t>
      </w:r>
      <w:r>
        <w:rPr>
          <w:rFonts w:hint="eastAsia" w:ascii="仿宋_GB2312" w:hAnsi="仿宋_GB2312" w:eastAsia="仿宋_GB2312" w:cs="仿宋_GB2312"/>
          <w:color w:val="000000"/>
          <w:sz w:val="32"/>
          <w:szCs w:val="32"/>
          <w:lang w:eastAsia="zh-CN"/>
        </w:rPr>
        <w:t>我</w:t>
      </w:r>
      <w:r>
        <w:rPr>
          <w:rFonts w:hint="eastAsia" w:ascii="仿宋_GB2312" w:hAnsi="仿宋_GB2312" w:eastAsia="仿宋_GB2312" w:cs="仿宋_GB2312"/>
          <w:color w:val="000000"/>
          <w:sz w:val="32"/>
          <w:szCs w:val="32"/>
        </w:rPr>
        <w:t>院姚军副院长（主持工作）</w:t>
      </w:r>
      <w:r>
        <w:rPr>
          <w:rFonts w:hint="eastAsia" w:ascii="仿宋_GB2312" w:hAnsi="仿宋_GB2312" w:eastAsia="仿宋_GB2312" w:cs="仿宋_GB2312"/>
          <w:b/>
          <w:bCs/>
          <w:color w:val="000000"/>
          <w:sz w:val="32"/>
          <w:szCs w:val="32"/>
        </w:rPr>
        <w:t>荣获全国“优秀MPA教育工作者”荣誉称号</w:t>
      </w:r>
      <w:r>
        <w:rPr>
          <w:rFonts w:hint="eastAsia" w:ascii="仿宋_GB2312" w:hAnsi="仿宋_GB2312" w:eastAsia="仿宋_GB2312" w:cs="仿宋_GB2312"/>
          <w:color w:val="000000"/>
          <w:sz w:val="32"/>
          <w:szCs w:val="32"/>
        </w:rPr>
        <w:t>、刘丁蓉副教授</w:t>
      </w:r>
      <w:r>
        <w:rPr>
          <w:rFonts w:hint="eastAsia" w:ascii="仿宋_GB2312" w:hAnsi="仿宋_GB2312" w:eastAsia="仿宋_GB2312" w:cs="仿宋_GB2312"/>
          <w:b/>
          <w:bCs/>
          <w:color w:val="000000"/>
          <w:sz w:val="32"/>
          <w:szCs w:val="32"/>
        </w:rPr>
        <w:t>荣获第三届全国“优秀MPA教师</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b/>
          <w:bCs/>
          <w:color w:val="000000"/>
          <w:sz w:val="32"/>
          <w:szCs w:val="32"/>
        </w:rPr>
        <w:t>荣誉称号</w:t>
      </w:r>
      <w:r>
        <w:rPr>
          <w:rFonts w:hint="eastAsia" w:ascii="仿宋_GB2312" w:hAnsi="仿宋_GB2312" w:eastAsia="仿宋_GB2312" w:cs="仿宋_GB2312"/>
          <w:color w:val="000000"/>
          <w:sz w:val="32"/>
          <w:szCs w:val="32"/>
        </w:rPr>
        <w:t>。本次获奖是对两位教师教育管理和教学水平的高度认可，两位教师多年来致力于MPA教育工作，全面贯彻党的教育方针，落实立德树人根本任务，为我校MPA人才培养做出贡献。</w:t>
      </w:r>
    </w:p>
    <w:p>
      <w:pPr>
        <w:pStyle w:val="2"/>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drawing>
          <wp:inline distT="0" distB="0" distL="0" distR="0">
            <wp:extent cx="2276475" cy="27146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276475" cy="2714625"/>
                    </a:xfrm>
                    <a:prstGeom prst="rect">
                      <a:avLst/>
                    </a:prstGeom>
                  </pic:spPr>
                </pic:pic>
              </a:graphicData>
            </a:graphic>
          </wp:inline>
        </w:drawing>
      </w:r>
      <w:r>
        <w:rPr>
          <w:rFonts w:hint="eastAsia" w:ascii="仿宋_GB2312" w:hAnsi="仿宋_GB2312" w:eastAsia="仿宋_GB2312" w:cs="仿宋_GB2312"/>
          <w:color w:val="000000"/>
          <w:sz w:val="32"/>
          <w:szCs w:val="32"/>
        </w:rPr>
        <w:drawing>
          <wp:inline distT="0" distB="0" distL="0" distR="0">
            <wp:extent cx="2381250" cy="27146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2381250" cy="2714625"/>
                    </a:xfrm>
                    <a:prstGeom prst="rect">
                      <a:avLst/>
                    </a:prstGeom>
                  </pic:spPr>
                </pic:pic>
              </a:graphicData>
            </a:graphic>
          </wp:inline>
        </w:drawing>
      </w:r>
    </w:p>
    <w:p>
      <w:pPr>
        <w:pStyle w:val="2"/>
        <w:rPr>
          <w:rFonts w:hint="eastAsia" w:ascii="仿宋_GB2312" w:hAnsi="仿宋_GB2312" w:eastAsia="仿宋_GB2312" w:cs="仿宋_GB2312"/>
          <w:color w:val="000000"/>
          <w:sz w:val="32"/>
          <w:szCs w:val="32"/>
          <w:lang w:eastAsia="zh-CN"/>
        </w:rPr>
      </w:pP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84" w:leftChars="0" w:firstLine="430" w:firstLineChars="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加强实验室仪器设备的日常管理，维护实验室计算机及多媒体的正常使用，保障实践教学顺利开展，本周内实验室的工作如下</w:t>
      </w:r>
      <w:r>
        <w:rPr>
          <w:rFonts w:hint="eastAsia" w:ascii="仿宋_GB2312" w:hAnsi="仿宋_GB2312" w:eastAsia="仿宋_GB2312" w:cs="仿宋_GB2312"/>
          <w:color w:val="000000"/>
          <w:sz w:val="32"/>
          <w:szCs w:val="32"/>
          <w:lang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1020"/>
        <w:gridCol w:w="4711"/>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615" w:hRule="atLeast"/>
          <w:jc w:val="center"/>
        </w:trPr>
        <w:tc>
          <w:tcPr>
            <w:tcW w:w="102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6"/>
                <w:szCs w:val="26"/>
              </w:rPr>
            </w:pPr>
            <w:r>
              <w:rPr>
                <w:rFonts w:ascii="仿宋" w:hAnsi="仿宋" w:eastAsia="仿宋"/>
                <w:b/>
                <w:bCs/>
                <w:color w:val="000000"/>
                <w:spacing w:val="0"/>
                <w:sz w:val="26"/>
                <w:szCs w:val="26"/>
              </w:rPr>
              <w:t>序号</w:t>
            </w:r>
          </w:p>
          <w:p>
            <w:pPr>
              <w:snapToGrid w:val="0"/>
              <w:spacing w:before="0" w:after="0" w:line="280" w:lineRule="exact"/>
              <w:jc w:val="center"/>
              <w:rPr>
                <w:rFonts w:ascii="仿宋" w:hAnsi="仿宋" w:eastAsia="仿宋"/>
                <w:color w:val="000000"/>
                <w:sz w:val="26"/>
                <w:szCs w:val="26"/>
              </w:rPr>
            </w:pPr>
          </w:p>
        </w:tc>
        <w:tc>
          <w:tcPr>
            <w:tcW w:w="471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6"/>
                <w:szCs w:val="26"/>
              </w:rPr>
            </w:pPr>
            <w:r>
              <w:rPr>
                <w:rFonts w:ascii="仿宋" w:hAnsi="仿宋" w:eastAsia="仿宋"/>
                <w:b/>
                <w:bCs/>
                <w:color w:val="000000"/>
                <w:spacing w:val="0"/>
                <w:sz w:val="26"/>
                <w:szCs w:val="26"/>
              </w:rPr>
              <w:t>维护内容</w:t>
            </w:r>
          </w:p>
          <w:p>
            <w:pPr>
              <w:snapToGrid w:val="0"/>
              <w:spacing w:before="0" w:after="0" w:line="280" w:lineRule="exact"/>
              <w:jc w:val="center"/>
              <w:rPr>
                <w:rFonts w:ascii="仿宋" w:hAnsi="仿宋" w:eastAsia="仿宋"/>
                <w:color w:val="000000"/>
                <w:sz w:val="26"/>
                <w:szCs w:val="26"/>
              </w:rPr>
            </w:pPr>
          </w:p>
        </w:tc>
        <w:tc>
          <w:tcPr>
            <w:tcW w:w="187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6"/>
                <w:szCs w:val="26"/>
              </w:rPr>
            </w:pPr>
            <w:r>
              <w:rPr>
                <w:rFonts w:ascii="仿宋" w:hAnsi="仿宋" w:eastAsia="仿宋"/>
                <w:b/>
                <w:bCs/>
                <w:color w:val="000000"/>
                <w:spacing w:val="0"/>
                <w:sz w:val="26"/>
                <w:szCs w:val="26"/>
              </w:rPr>
              <w:t>数量</w:t>
            </w:r>
          </w:p>
          <w:p>
            <w:pPr>
              <w:snapToGrid w:val="0"/>
              <w:spacing w:before="0" w:after="0" w:line="280" w:lineRule="exact"/>
              <w:jc w:val="center"/>
              <w:rPr>
                <w:rFonts w:ascii="仿宋" w:hAnsi="仿宋" w:eastAsia="仿宋"/>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jc w:val="center"/>
        </w:trPr>
        <w:tc>
          <w:tcPr>
            <w:tcW w:w="102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1</w:t>
            </w:r>
          </w:p>
          <w:p>
            <w:pPr>
              <w:snapToGrid w:val="0"/>
              <w:spacing w:before="0" w:after="0" w:line="280" w:lineRule="exact"/>
              <w:jc w:val="center"/>
              <w:rPr>
                <w:rFonts w:ascii="仿宋" w:hAnsi="仿宋" w:eastAsia="仿宋"/>
                <w:color w:val="000000"/>
                <w:sz w:val="24"/>
                <w:szCs w:val="24"/>
              </w:rPr>
            </w:pPr>
          </w:p>
        </w:tc>
        <w:tc>
          <w:tcPr>
            <w:tcW w:w="471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计算机系统重装</w:t>
            </w:r>
          </w:p>
          <w:p>
            <w:pPr>
              <w:snapToGrid w:val="0"/>
              <w:spacing w:before="0" w:after="0" w:line="280" w:lineRule="exact"/>
              <w:jc w:val="center"/>
              <w:rPr>
                <w:rFonts w:ascii="仿宋" w:hAnsi="仿宋" w:eastAsia="仿宋"/>
                <w:color w:val="000000"/>
                <w:sz w:val="24"/>
                <w:szCs w:val="24"/>
              </w:rPr>
            </w:pPr>
          </w:p>
        </w:tc>
        <w:tc>
          <w:tcPr>
            <w:tcW w:w="187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3台</w:t>
            </w:r>
          </w:p>
          <w:p>
            <w:pPr>
              <w:snapToGrid w:val="0"/>
              <w:spacing w:before="0" w:after="0" w:line="280" w:lineRule="exact"/>
              <w:jc w:val="center"/>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jc w:val="center"/>
        </w:trPr>
        <w:tc>
          <w:tcPr>
            <w:tcW w:w="102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2</w:t>
            </w:r>
          </w:p>
          <w:p>
            <w:pPr>
              <w:snapToGrid w:val="0"/>
              <w:spacing w:before="0" w:after="0" w:line="280" w:lineRule="exact"/>
              <w:jc w:val="center"/>
              <w:rPr>
                <w:rFonts w:ascii="仿宋" w:hAnsi="仿宋" w:eastAsia="仿宋"/>
                <w:color w:val="000000"/>
                <w:sz w:val="24"/>
                <w:szCs w:val="24"/>
              </w:rPr>
            </w:pPr>
          </w:p>
        </w:tc>
        <w:tc>
          <w:tcPr>
            <w:tcW w:w="471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计算机系统自动更新功能关闭</w:t>
            </w:r>
          </w:p>
          <w:p>
            <w:pPr>
              <w:snapToGrid w:val="0"/>
              <w:spacing w:before="0" w:after="0" w:line="280" w:lineRule="exact"/>
              <w:jc w:val="center"/>
              <w:rPr>
                <w:rFonts w:ascii="仿宋" w:hAnsi="仿宋" w:eastAsia="仿宋"/>
                <w:color w:val="000000"/>
                <w:sz w:val="24"/>
                <w:szCs w:val="24"/>
              </w:rPr>
            </w:pPr>
          </w:p>
        </w:tc>
        <w:tc>
          <w:tcPr>
            <w:tcW w:w="187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25台</w:t>
            </w:r>
          </w:p>
          <w:p>
            <w:pPr>
              <w:snapToGrid w:val="0"/>
              <w:spacing w:before="0" w:after="0" w:line="280" w:lineRule="exact"/>
              <w:jc w:val="center"/>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jc w:val="center"/>
        </w:trPr>
        <w:tc>
          <w:tcPr>
            <w:tcW w:w="102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3</w:t>
            </w:r>
          </w:p>
          <w:p>
            <w:pPr>
              <w:snapToGrid w:val="0"/>
              <w:spacing w:before="0" w:after="0" w:line="280" w:lineRule="exact"/>
              <w:jc w:val="center"/>
              <w:rPr>
                <w:rFonts w:ascii="仿宋" w:hAnsi="仿宋" w:eastAsia="仿宋"/>
                <w:color w:val="000000"/>
                <w:sz w:val="24"/>
                <w:szCs w:val="24"/>
              </w:rPr>
            </w:pPr>
          </w:p>
        </w:tc>
        <w:tc>
          <w:tcPr>
            <w:tcW w:w="471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影子还原系统的解冻和冻结</w:t>
            </w:r>
          </w:p>
          <w:p>
            <w:pPr>
              <w:snapToGrid w:val="0"/>
              <w:spacing w:before="0" w:after="0" w:line="280" w:lineRule="exact"/>
              <w:jc w:val="center"/>
              <w:rPr>
                <w:rFonts w:ascii="仿宋" w:hAnsi="仿宋" w:eastAsia="仿宋"/>
                <w:color w:val="000000"/>
                <w:sz w:val="24"/>
                <w:szCs w:val="24"/>
              </w:rPr>
            </w:pPr>
          </w:p>
        </w:tc>
        <w:tc>
          <w:tcPr>
            <w:tcW w:w="187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24台</w:t>
            </w:r>
          </w:p>
          <w:p>
            <w:pPr>
              <w:snapToGrid w:val="0"/>
              <w:spacing w:before="0" w:after="0" w:line="280" w:lineRule="exact"/>
              <w:jc w:val="center"/>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jc w:val="center"/>
        </w:trPr>
        <w:tc>
          <w:tcPr>
            <w:tcW w:w="102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4</w:t>
            </w:r>
          </w:p>
          <w:p>
            <w:pPr>
              <w:snapToGrid w:val="0"/>
              <w:spacing w:before="0" w:after="0" w:line="280" w:lineRule="exact"/>
              <w:jc w:val="center"/>
              <w:rPr>
                <w:rFonts w:ascii="仿宋" w:hAnsi="仿宋" w:eastAsia="仿宋"/>
                <w:color w:val="000000"/>
                <w:sz w:val="24"/>
                <w:szCs w:val="24"/>
              </w:rPr>
            </w:pPr>
          </w:p>
        </w:tc>
        <w:tc>
          <w:tcPr>
            <w:tcW w:w="471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火绒安全软件5.0安装</w:t>
            </w:r>
          </w:p>
          <w:p>
            <w:pPr>
              <w:snapToGrid w:val="0"/>
              <w:spacing w:before="0" w:after="0" w:line="280" w:lineRule="exact"/>
              <w:jc w:val="center"/>
              <w:rPr>
                <w:rFonts w:ascii="仿宋" w:hAnsi="仿宋" w:eastAsia="仿宋"/>
                <w:color w:val="000000"/>
                <w:sz w:val="24"/>
                <w:szCs w:val="24"/>
              </w:rPr>
            </w:pPr>
          </w:p>
        </w:tc>
        <w:tc>
          <w:tcPr>
            <w:tcW w:w="187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25台</w:t>
            </w:r>
          </w:p>
          <w:p>
            <w:pPr>
              <w:snapToGrid w:val="0"/>
              <w:spacing w:before="0" w:after="0" w:line="280" w:lineRule="exact"/>
              <w:jc w:val="center"/>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jc w:val="center"/>
        </w:trPr>
        <w:tc>
          <w:tcPr>
            <w:tcW w:w="102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5</w:t>
            </w:r>
          </w:p>
          <w:p>
            <w:pPr>
              <w:snapToGrid w:val="0"/>
              <w:spacing w:before="0" w:after="0" w:line="280" w:lineRule="exact"/>
              <w:jc w:val="center"/>
              <w:rPr>
                <w:rFonts w:ascii="仿宋" w:hAnsi="仿宋" w:eastAsia="仿宋"/>
                <w:color w:val="000000"/>
                <w:sz w:val="24"/>
                <w:szCs w:val="24"/>
              </w:rPr>
            </w:pPr>
          </w:p>
        </w:tc>
        <w:tc>
          <w:tcPr>
            <w:tcW w:w="471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计算机无法启动</w:t>
            </w:r>
          </w:p>
          <w:p>
            <w:pPr>
              <w:snapToGrid w:val="0"/>
              <w:spacing w:before="0" w:after="0" w:line="280" w:lineRule="exact"/>
              <w:jc w:val="center"/>
              <w:rPr>
                <w:rFonts w:ascii="仿宋" w:hAnsi="仿宋" w:eastAsia="仿宋"/>
                <w:color w:val="000000"/>
                <w:sz w:val="24"/>
                <w:szCs w:val="24"/>
              </w:rPr>
            </w:pPr>
          </w:p>
        </w:tc>
        <w:tc>
          <w:tcPr>
            <w:tcW w:w="187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4台</w:t>
            </w:r>
          </w:p>
          <w:p>
            <w:pPr>
              <w:snapToGrid w:val="0"/>
              <w:spacing w:before="0" w:after="0" w:line="280" w:lineRule="exact"/>
              <w:jc w:val="center"/>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jc w:val="center"/>
        </w:trPr>
        <w:tc>
          <w:tcPr>
            <w:tcW w:w="102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6</w:t>
            </w:r>
          </w:p>
          <w:p>
            <w:pPr>
              <w:snapToGrid w:val="0"/>
              <w:spacing w:before="0" w:after="0" w:line="280" w:lineRule="exact"/>
              <w:jc w:val="center"/>
              <w:rPr>
                <w:rFonts w:ascii="仿宋" w:hAnsi="仿宋" w:eastAsia="仿宋"/>
                <w:color w:val="000000"/>
                <w:sz w:val="24"/>
                <w:szCs w:val="24"/>
              </w:rPr>
            </w:pPr>
          </w:p>
        </w:tc>
        <w:tc>
          <w:tcPr>
            <w:tcW w:w="471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计算机数据备份</w:t>
            </w:r>
          </w:p>
          <w:p>
            <w:pPr>
              <w:snapToGrid w:val="0"/>
              <w:spacing w:before="0" w:after="0" w:line="280" w:lineRule="exact"/>
              <w:jc w:val="center"/>
              <w:rPr>
                <w:rFonts w:ascii="仿宋" w:hAnsi="仿宋" w:eastAsia="仿宋"/>
                <w:color w:val="000000"/>
                <w:sz w:val="24"/>
                <w:szCs w:val="24"/>
              </w:rPr>
            </w:pPr>
          </w:p>
        </w:tc>
        <w:tc>
          <w:tcPr>
            <w:tcW w:w="187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1份</w:t>
            </w:r>
          </w:p>
          <w:p>
            <w:pPr>
              <w:snapToGrid w:val="0"/>
              <w:spacing w:before="0" w:after="0" w:line="280" w:lineRule="exact"/>
              <w:jc w:val="center"/>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jc w:val="center"/>
        </w:trPr>
        <w:tc>
          <w:tcPr>
            <w:tcW w:w="102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7</w:t>
            </w:r>
          </w:p>
          <w:p>
            <w:pPr>
              <w:snapToGrid w:val="0"/>
              <w:spacing w:before="0" w:after="0" w:line="280" w:lineRule="exact"/>
              <w:jc w:val="center"/>
              <w:rPr>
                <w:rFonts w:ascii="仿宋" w:hAnsi="仿宋" w:eastAsia="仿宋"/>
                <w:color w:val="000000"/>
                <w:sz w:val="24"/>
                <w:szCs w:val="24"/>
              </w:rPr>
            </w:pPr>
          </w:p>
        </w:tc>
        <w:tc>
          <w:tcPr>
            <w:tcW w:w="471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教学软件安装：arcGIS、AutoCAD、房产测绘BMF、gakataka、SPSS、ENVI、0_WAN_数字测图仿真实验软件、0_WAN_无人机摄影测量、房地产沙盘sql等等</w:t>
            </w:r>
          </w:p>
          <w:p>
            <w:pPr>
              <w:snapToGrid w:val="0"/>
              <w:spacing w:before="0" w:after="0" w:line="280" w:lineRule="exact"/>
              <w:jc w:val="center"/>
              <w:rPr>
                <w:rFonts w:ascii="仿宋" w:hAnsi="仿宋" w:eastAsia="仿宋"/>
                <w:color w:val="000000"/>
                <w:sz w:val="24"/>
                <w:szCs w:val="24"/>
              </w:rPr>
            </w:pPr>
          </w:p>
        </w:tc>
        <w:tc>
          <w:tcPr>
            <w:tcW w:w="187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3台</w:t>
            </w:r>
          </w:p>
          <w:p>
            <w:pPr>
              <w:snapToGrid w:val="0"/>
              <w:spacing w:before="0" w:after="0" w:line="280" w:lineRule="exact"/>
              <w:jc w:val="center"/>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jc w:val="center"/>
        </w:trPr>
        <w:tc>
          <w:tcPr>
            <w:tcW w:w="102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8</w:t>
            </w:r>
          </w:p>
          <w:p>
            <w:pPr>
              <w:snapToGrid w:val="0"/>
              <w:spacing w:before="0" w:after="0" w:line="280" w:lineRule="exact"/>
              <w:jc w:val="center"/>
              <w:rPr>
                <w:rFonts w:ascii="仿宋" w:hAnsi="仿宋" w:eastAsia="仿宋"/>
                <w:color w:val="000000"/>
                <w:sz w:val="24"/>
                <w:szCs w:val="24"/>
              </w:rPr>
            </w:pPr>
          </w:p>
        </w:tc>
        <w:tc>
          <w:tcPr>
            <w:tcW w:w="471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Gakataka学生端无法连接教师端，卸掉重装</w:t>
            </w:r>
          </w:p>
          <w:p>
            <w:pPr>
              <w:snapToGrid w:val="0"/>
              <w:spacing w:before="0" w:after="0" w:line="280" w:lineRule="exact"/>
              <w:jc w:val="center"/>
              <w:rPr>
                <w:rFonts w:ascii="仿宋" w:hAnsi="仿宋" w:eastAsia="仿宋"/>
                <w:color w:val="000000"/>
                <w:sz w:val="24"/>
                <w:szCs w:val="24"/>
              </w:rPr>
            </w:pPr>
          </w:p>
        </w:tc>
        <w:tc>
          <w:tcPr>
            <w:tcW w:w="187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4台</w:t>
            </w:r>
          </w:p>
          <w:p>
            <w:pPr>
              <w:snapToGrid w:val="0"/>
              <w:spacing w:before="0" w:after="0" w:line="280" w:lineRule="exact"/>
              <w:jc w:val="center"/>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jc w:val="center"/>
        </w:trPr>
        <w:tc>
          <w:tcPr>
            <w:tcW w:w="102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9</w:t>
            </w:r>
          </w:p>
          <w:p>
            <w:pPr>
              <w:snapToGrid w:val="0"/>
              <w:spacing w:before="0" w:after="0" w:line="280" w:lineRule="exact"/>
              <w:jc w:val="center"/>
              <w:rPr>
                <w:rFonts w:ascii="仿宋" w:hAnsi="仿宋" w:eastAsia="仿宋"/>
                <w:color w:val="000000"/>
                <w:sz w:val="24"/>
                <w:szCs w:val="24"/>
              </w:rPr>
            </w:pPr>
          </w:p>
        </w:tc>
        <w:tc>
          <w:tcPr>
            <w:tcW w:w="471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三水校区无人机归还的签收，及无人机电池的充电</w:t>
            </w:r>
          </w:p>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（无人机2台，电池10个）</w:t>
            </w:r>
          </w:p>
        </w:tc>
        <w:tc>
          <w:tcPr>
            <w:tcW w:w="187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jc w:val="center"/>
              <w:rPr>
                <w:rFonts w:ascii="仿宋" w:hAnsi="仿宋" w:eastAsia="仿宋"/>
                <w:color w:val="000000"/>
                <w:sz w:val="24"/>
                <w:szCs w:val="24"/>
              </w:rPr>
            </w:pPr>
            <w:r>
              <w:rPr>
                <w:rFonts w:ascii="仿宋" w:hAnsi="仿宋" w:eastAsia="仿宋"/>
                <w:color w:val="000000"/>
                <w:spacing w:val="0"/>
                <w:sz w:val="24"/>
                <w:szCs w:val="24"/>
              </w:rPr>
              <w:t>2台、10个</w:t>
            </w:r>
          </w:p>
          <w:p>
            <w:pPr>
              <w:snapToGrid w:val="0"/>
              <w:spacing w:before="0" w:after="0" w:line="280" w:lineRule="exact"/>
              <w:jc w:val="center"/>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690" w:hRule="atLeast"/>
          <w:jc w:val="center"/>
        </w:trPr>
        <w:tc>
          <w:tcPr>
            <w:tcW w:w="102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ind w:left="0" w:right="0"/>
              <w:jc w:val="center"/>
              <w:rPr>
                <w:rFonts w:ascii="仿宋" w:hAnsi="仿宋" w:eastAsia="仿宋"/>
                <w:color w:val="000000"/>
                <w:spacing w:val="0"/>
                <w:sz w:val="24"/>
                <w:szCs w:val="24"/>
              </w:rPr>
            </w:pPr>
            <w:r>
              <w:rPr>
                <w:rFonts w:ascii="仿宋" w:hAnsi="仿宋" w:eastAsia="仿宋"/>
                <w:color w:val="000000"/>
                <w:spacing w:val="0"/>
                <w:sz w:val="24"/>
                <w:szCs w:val="24"/>
              </w:rPr>
              <w:t>10</w:t>
            </w:r>
          </w:p>
        </w:tc>
        <w:tc>
          <w:tcPr>
            <w:tcW w:w="471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ind w:left="0" w:right="0"/>
              <w:jc w:val="center"/>
              <w:rPr>
                <w:rFonts w:ascii="仿宋" w:hAnsi="仿宋" w:eastAsia="仿宋"/>
                <w:color w:val="000000"/>
                <w:spacing w:val="0"/>
                <w:sz w:val="24"/>
                <w:szCs w:val="24"/>
              </w:rPr>
            </w:pPr>
            <w:r>
              <w:rPr>
                <w:rFonts w:ascii="仿宋" w:hAnsi="仿宋" w:eastAsia="仿宋"/>
                <w:color w:val="000000"/>
                <w:spacing w:val="0"/>
                <w:sz w:val="24"/>
                <w:szCs w:val="24"/>
              </w:rPr>
              <w:t>功放、音箱的维修及更换</w:t>
            </w:r>
          </w:p>
        </w:tc>
        <w:tc>
          <w:tcPr>
            <w:tcW w:w="187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0" w:after="0" w:line="280" w:lineRule="exact"/>
              <w:ind w:left="0" w:right="0"/>
              <w:jc w:val="center"/>
              <w:rPr>
                <w:rFonts w:ascii="仿宋" w:hAnsi="仿宋" w:eastAsia="仿宋"/>
                <w:color w:val="000000"/>
                <w:spacing w:val="0"/>
                <w:sz w:val="24"/>
                <w:szCs w:val="24"/>
              </w:rPr>
            </w:pPr>
            <w:r>
              <w:rPr>
                <w:rFonts w:ascii="仿宋" w:hAnsi="仿宋" w:eastAsia="仿宋"/>
                <w:color w:val="000000"/>
                <w:spacing w:val="0"/>
                <w:sz w:val="24"/>
                <w:szCs w:val="24"/>
              </w:rPr>
              <w:t>1套</w:t>
            </w:r>
          </w:p>
        </w:tc>
      </w:tr>
    </w:tbl>
    <w:p>
      <w:pPr>
        <w:pStyle w:val="2"/>
        <w:rPr>
          <w:rFonts w:hint="eastAsia"/>
          <w:lang w:eastAsia="zh-CN"/>
        </w:rPr>
      </w:pPr>
    </w:p>
    <w:p>
      <w:pPr>
        <w:pStyle w:val="4"/>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84" w:leftChars="0" w:firstLine="430" w:firstLineChars="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为庆祝“五四”青年节的到来，2022年5月4日，公共管理学院开展了“争做奋进自律广财人——‘五四’青年座谈会”活动。</w:t>
      </w:r>
    </w:p>
    <w:p>
      <w:pPr>
        <w:pStyle w:val="4"/>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sz w:val="32"/>
          <w:szCs w:val="32"/>
        </w:rPr>
        <w:drawing>
          <wp:inline distT="0" distB="0" distL="0" distR="0">
            <wp:extent cx="5248275" cy="27717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48275" cy="2771775"/>
                    </a:xfrm>
                    <a:prstGeom prst="rect">
                      <a:avLst/>
                    </a:prstGeom>
                  </pic:spPr>
                </pic:pic>
              </a:graphicData>
            </a:graphic>
          </wp:inline>
        </w:drawing>
      </w:r>
    </w:p>
    <w:p>
      <w:pPr>
        <w:rPr>
          <w:rFonts w:hint="eastAsia" w:ascii="仿宋_GB2312" w:hAnsi="仿宋_GB2312" w:eastAsia="仿宋_GB2312" w:cs="仿宋_GB2312"/>
          <w:color w:val="000000"/>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jc w:val="both"/>
        <w:textAlignment w:val="auto"/>
        <w:rPr>
          <w:rFonts w:hint="eastAsia" w:ascii="仿宋_GB2312" w:hAnsi="仿宋_GB2312" w:eastAsia="仿宋_GB2312" w:cs="仿宋_GB2312"/>
          <w:color w:val="000000"/>
          <w:sz w:val="32"/>
          <w:szCs w:val="32"/>
          <w:lang w:eastAsia="zh-CN"/>
        </w:rPr>
      </w:pPr>
    </w:p>
    <w:p>
      <w:pPr>
        <w:pStyle w:val="7"/>
        <w:keepNext w:val="0"/>
        <w:keepLines w:val="0"/>
        <w:widowControl/>
        <w:suppressLineNumbers w:val="0"/>
        <w:spacing w:before="0" w:beforeAutospacing="0" w:after="0" w:afterAutospacing="0" w:line="12" w:lineRule="atLeast"/>
        <w:ind w:right="0"/>
        <w:jc w:val="left"/>
        <w:rPr>
          <w:rFonts w:hint="eastAsia" w:ascii="仿宋_GB2312" w:hAnsi="仿宋_GB2312" w:eastAsia="仿宋_GB2312" w:cs="仿宋_GB2312"/>
          <w:color w:val="000000"/>
          <w:kern w:val="2"/>
          <w:sz w:val="32"/>
          <w:szCs w:val="32"/>
          <w:lang w:val="en-US" w:eastAsia="zh-CN" w:bidi="ar-SA"/>
        </w:rPr>
      </w:pP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84" w:leftChars="0" w:firstLine="430" w:firstLineChars="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2022年5月10日，公共管理学院团委在学院学术报告厅组织收看庆祝中国共产主义青年团成立100周年大会</w:t>
      </w:r>
      <w:bookmarkStart w:id="0" w:name="_GoBack"/>
      <w:bookmarkEnd w:id="0"/>
      <w:r>
        <w:rPr>
          <w:rFonts w:hint="eastAsia" w:ascii="仿宋_GB2312" w:hAnsi="仿宋_GB2312" w:eastAsia="仿宋_GB2312" w:cs="仿宋_GB2312"/>
          <w:color w:val="000000"/>
          <w:kern w:val="2"/>
          <w:sz w:val="32"/>
          <w:szCs w:val="32"/>
          <w:lang w:val="en-US" w:eastAsia="zh-CN" w:bidi="ar-SA"/>
        </w:rPr>
        <w:t>。</w:t>
      </w:r>
    </w:p>
    <w:p>
      <w:pPr>
        <w:pStyle w:val="2"/>
        <w:rPr>
          <w:rFonts w:hint="eastAsia"/>
          <w:lang w:val="en-US" w:eastAsia="zh-CN"/>
        </w:rPr>
      </w:pPr>
      <w:r>
        <w:rPr>
          <w:rFonts w:hint="eastAsia"/>
          <w:lang w:val="en-US" w:eastAsia="zh-CN"/>
        </w:rPr>
        <w:drawing>
          <wp:inline distT="0" distB="0" distL="114300" distR="114300">
            <wp:extent cx="5270500" cy="3609340"/>
            <wp:effectExtent l="0" t="0" r="2540" b="2540"/>
            <wp:docPr id="13" name="图片 13" descr="5be6720656cbd083fb567225b640d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be6720656cbd083fb567225b640da8"/>
                    <pic:cNvPicPr>
                      <a:picLocks noChangeAspect="1"/>
                    </pic:cNvPicPr>
                  </pic:nvPicPr>
                  <pic:blipFill>
                    <a:blip r:embed="rId10"/>
                    <a:stretch>
                      <a:fillRect/>
                    </a:stretch>
                  </pic:blipFill>
                  <pic:spPr>
                    <a:xfrm>
                      <a:off x="0" y="0"/>
                      <a:ext cx="5270500" cy="360934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84" w:leftChars="0" w:firstLine="430" w:firstLineChars="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4月30日-5月4日，公共管理学院本部团委和学生会举办了“五一”劳动节摄影大赛，“弘扬‘五四’精神”文艺作品创作活动和“润心工程”心理知识竞赛</w:t>
      </w:r>
      <w:r>
        <w:rPr>
          <w:rFonts w:hint="eastAsia" w:ascii="仿宋_GB2312" w:hAnsi="仿宋_GB2312" w:eastAsia="仿宋_GB2312" w:cs="仿宋_GB2312"/>
          <w:color w:val="000000"/>
          <w:kern w:val="2"/>
          <w:sz w:val="32"/>
          <w:szCs w:val="32"/>
          <w:lang w:val="en-US" w:eastAsia="zh-Hans" w:bidi="ar-SA"/>
        </w:rPr>
        <w:t>活动</w:t>
      </w:r>
      <w:r>
        <w:rPr>
          <w:rFonts w:hint="eastAsia" w:ascii="仿宋_GB2312" w:hAnsi="仿宋_GB2312" w:eastAsia="仿宋_GB2312" w:cs="仿宋_GB2312"/>
          <w:color w:val="000000"/>
          <w:kern w:val="2"/>
          <w:sz w:val="32"/>
          <w:szCs w:val="32"/>
          <w:lang w:val="en-US" w:eastAsia="zh-CN" w:bidi="ar-SA"/>
        </w:rPr>
        <w:t>，文娱活动放松愉悦学生的身心，丰富了学生的假期生活。</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84" w:leftChars="0" w:firstLine="430" w:firstLineChars="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sz w:val="32"/>
          <w:szCs w:val="32"/>
        </w:rPr>
        <w:t>5月12日，</w:t>
      </w:r>
      <w:r>
        <w:rPr>
          <w:rFonts w:hint="eastAsia" w:ascii="仿宋_GB2312" w:hAnsi="仿宋_GB2312" w:eastAsia="仿宋_GB2312" w:cs="仿宋_GB2312"/>
          <w:sz w:val="32"/>
          <w:szCs w:val="32"/>
          <w:lang w:eastAsia="zh-Hans"/>
        </w:rPr>
        <w:t>公共管理学院</w:t>
      </w:r>
      <w:r>
        <w:rPr>
          <w:rFonts w:hint="eastAsia" w:ascii="仿宋_GB2312" w:hAnsi="仿宋_GB2312" w:eastAsia="仿宋_GB2312" w:cs="仿宋_GB2312"/>
          <w:sz w:val="32"/>
          <w:szCs w:val="32"/>
          <w:lang w:val="en-US" w:eastAsia="zh-CN"/>
        </w:rPr>
        <w:t>在佛山校区</w:t>
      </w:r>
      <w:r>
        <w:rPr>
          <w:rFonts w:hint="eastAsia" w:ascii="仿宋_GB2312" w:hAnsi="仿宋_GB2312" w:eastAsia="仿宋_GB2312" w:cs="仿宋_GB2312"/>
          <w:sz w:val="32"/>
          <w:szCs w:val="32"/>
          <w:lang w:eastAsia="zh-Hans"/>
        </w:rPr>
        <w:t>召开学习</w:t>
      </w:r>
      <w:r>
        <w:rPr>
          <w:rFonts w:hint="eastAsia" w:ascii="仿宋_GB2312" w:hAnsi="仿宋_GB2312" w:eastAsia="仿宋_GB2312" w:cs="仿宋_GB2312"/>
          <w:sz w:val="32"/>
          <w:szCs w:val="32"/>
        </w:rPr>
        <w:t>习近平总书记在庆祝中国共产主义青年团成立100周年大会上的重要讲话精神</w:t>
      </w:r>
      <w:r>
        <w:rPr>
          <w:rFonts w:hint="eastAsia" w:ascii="仿宋_GB2312" w:hAnsi="仿宋_GB2312" w:eastAsia="仿宋_GB2312" w:cs="仿宋_GB2312"/>
          <w:sz w:val="32"/>
          <w:szCs w:val="32"/>
          <w:lang w:val="en-US" w:eastAsia="zh-CN"/>
        </w:rPr>
        <w:t>座谈</w:t>
      </w:r>
      <w:r>
        <w:rPr>
          <w:rFonts w:hint="eastAsia" w:ascii="仿宋_GB2312" w:hAnsi="仿宋_GB2312" w:eastAsia="仿宋_GB2312" w:cs="仿宋_GB2312"/>
          <w:sz w:val="32"/>
          <w:szCs w:val="32"/>
        </w:rPr>
        <w:t>会</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sz w:val="32"/>
          <w:szCs w:val="32"/>
        </w:rPr>
        <w:t>钟智组织学习贯彻习近平总书记在庆祝中国共产主义青年团成立100周年大会上的重要讲话精神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佛山校区团委副书记钟妙婷和公共管理学院佛山校区学生会执行主席郭桐</w:t>
      </w:r>
      <w:r>
        <w:rPr>
          <w:rFonts w:hint="eastAsia" w:ascii="仿宋_GB2312" w:hAnsi="仿宋_GB2312" w:eastAsia="仿宋_GB2312" w:cs="仿宋_GB2312"/>
          <w:sz w:val="32"/>
          <w:szCs w:val="32"/>
          <w:lang w:val="en-US" w:eastAsia="zh-CN"/>
        </w:rPr>
        <w:t>等同学</w:t>
      </w:r>
      <w:r>
        <w:rPr>
          <w:rFonts w:hint="eastAsia" w:ascii="仿宋_GB2312" w:hAnsi="仿宋_GB2312" w:eastAsia="仿宋_GB2312" w:cs="仿宋_GB2312"/>
          <w:sz w:val="32"/>
          <w:szCs w:val="32"/>
        </w:rPr>
        <w:t>作</w:t>
      </w:r>
      <w:r>
        <w:rPr>
          <w:rFonts w:hint="eastAsia" w:ascii="仿宋_GB2312" w:hAnsi="仿宋_GB2312" w:eastAsia="仿宋_GB2312" w:cs="仿宋_GB2312"/>
          <w:sz w:val="32"/>
          <w:szCs w:val="32"/>
          <w:lang w:val="en-US" w:eastAsia="zh-CN"/>
        </w:rPr>
        <w:t>了</w:t>
      </w:r>
      <w:r>
        <w:rPr>
          <w:rFonts w:hint="eastAsia" w:ascii="仿宋_GB2312" w:hAnsi="仿宋_GB2312" w:eastAsia="仿宋_GB2312" w:cs="仿宋_GB2312"/>
          <w:sz w:val="32"/>
          <w:szCs w:val="32"/>
        </w:rPr>
        <w:t>学习感悟分享</w:t>
      </w:r>
      <w:r>
        <w:rPr>
          <w:rFonts w:hint="eastAsia" w:ascii="仿宋_GB2312" w:hAnsi="仿宋_GB2312" w:eastAsia="仿宋_GB2312" w:cs="仿宋_GB2312"/>
          <w:sz w:val="32"/>
          <w:szCs w:val="32"/>
          <w:lang w:eastAsia="zh-CN"/>
        </w:rPr>
        <w:t>。</w:t>
      </w:r>
    </w:p>
    <w:p>
      <w:pPr>
        <w:pStyle w:val="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61312" behindDoc="0" locked="0" layoutInCell="1" allowOverlap="1">
            <wp:simplePos x="0" y="0"/>
            <wp:positionH relativeFrom="column">
              <wp:posOffset>120650</wp:posOffset>
            </wp:positionH>
            <wp:positionV relativeFrom="paragraph">
              <wp:posOffset>29210</wp:posOffset>
            </wp:positionV>
            <wp:extent cx="5255260" cy="3503930"/>
            <wp:effectExtent l="0" t="0" r="2540" b="1270"/>
            <wp:wrapSquare wrapText="bothSides"/>
            <wp:docPr id="12" name="图片 12" descr="984d5548c27ddf2a36b34f8309df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84d5548c27ddf2a36b34f8309df0f2"/>
                    <pic:cNvPicPr>
                      <a:picLocks noChangeAspect="1"/>
                    </pic:cNvPicPr>
                  </pic:nvPicPr>
                  <pic:blipFill>
                    <a:blip r:embed="rId11"/>
                    <a:stretch>
                      <a:fillRect/>
                    </a:stretch>
                  </pic:blipFill>
                  <pic:spPr>
                    <a:xfrm>
                      <a:off x="0" y="0"/>
                      <a:ext cx="5255260" cy="3503930"/>
                    </a:xfrm>
                    <a:prstGeom prst="rect">
                      <a:avLst/>
                    </a:prstGeom>
                  </pic:spPr>
                </pic:pic>
              </a:graphicData>
            </a:graphic>
          </wp:anchor>
        </w:drawing>
      </w:r>
    </w:p>
    <w:p>
      <w:pPr>
        <w:pStyle w:val="2"/>
        <w:numPr>
          <w:ilvl w:val="0"/>
          <w:numId w:val="1"/>
        </w:numPr>
        <w:ind w:left="194" w:leftChars="0" w:firstLine="418" w:firstLineChars="0"/>
        <w:rPr>
          <w:rFonts w:hint="eastAsia" w:ascii="仿宋_GB2312" w:hAnsi="仿宋_GB2312" w:eastAsia="仿宋_GB2312" w:cs="仿宋_GB2312"/>
          <w:sz w:val="32"/>
          <w:szCs w:val="32"/>
          <w:lang w:eastAsia="zh-CN"/>
        </w:rPr>
      </w:pPr>
      <w:r>
        <w:rPr>
          <w:rFonts w:hint="eastAsia" w:ascii="仿宋_GB2312" w:hAnsi="仿宋_GB2312" w:eastAsia="仿宋_GB2312" w:cs="仿宋_GB2312"/>
          <w:i w:val="0"/>
          <w:iCs w:val="0"/>
          <w:caps w:val="0"/>
          <w:color w:val="auto"/>
          <w:spacing w:val="15"/>
          <w:sz w:val="32"/>
          <w:szCs w:val="32"/>
          <w:shd w:val="clear" w:fill="FFFFFF"/>
          <w:lang w:eastAsia="zh-CN"/>
        </w:rPr>
        <w:t>“五一”期间，</w:t>
      </w:r>
      <w:r>
        <w:rPr>
          <w:rFonts w:hint="eastAsia" w:ascii="仿宋_GB2312" w:hAnsi="仿宋_GB2312" w:eastAsia="仿宋_GB2312" w:cs="仿宋_GB2312"/>
          <w:i w:val="0"/>
          <w:iCs w:val="0"/>
          <w:caps w:val="0"/>
          <w:color w:val="auto"/>
          <w:spacing w:val="15"/>
          <w:sz w:val="32"/>
          <w:szCs w:val="32"/>
          <w:shd w:val="clear" w:fill="FFFFFF"/>
        </w:rPr>
        <w:t>为了让同学们通过DIY感受生活的乐趣，缓解焦虑紧张的情绪。</w:t>
      </w:r>
      <w:r>
        <w:rPr>
          <w:rFonts w:hint="eastAsia" w:ascii="仿宋_GB2312" w:hAnsi="仿宋_GB2312" w:eastAsia="仿宋_GB2312" w:cs="仿宋_GB2312"/>
          <w:i w:val="0"/>
          <w:iCs w:val="0"/>
          <w:caps w:val="0"/>
          <w:color w:val="auto"/>
          <w:spacing w:val="15"/>
          <w:sz w:val="32"/>
          <w:szCs w:val="32"/>
          <w:shd w:val="clear" w:fill="FFFFFF"/>
          <w:lang w:eastAsia="zh-CN"/>
        </w:rPr>
        <w:t>佛山校区公管</w:t>
      </w:r>
      <w:r>
        <w:rPr>
          <w:rFonts w:hint="eastAsia" w:ascii="仿宋_GB2312" w:hAnsi="仿宋_GB2312" w:eastAsia="仿宋_GB2312" w:cs="仿宋_GB2312"/>
          <w:i w:val="0"/>
          <w:iCs w:val="0"/>
          <w:caps w:val="0"/>
          <w:color w:val="auto"/>
          <w:spacing w:val="15"/>
          <w:sz w:val="32"/>
          <w:szCs w:val="32"/>
          <w:shd w:val="clear" w:fill="FFFFFF"/>
        </w:rPr>
        <w:t>学院举办手工创意diy活动。为了迎接五一劳动节的来临，让同学们体验劳动，身体力行，院青协特意举办清洁一教活动。</w:t>
      </w:r>
    </w:p>
    <w:p>
      <w:pPr>
        <w:pStyle w:val="2"/>
        <w:numPr>
          <w:ilvl w:val="0"/>
          <w:numId w:val="1"/>
        </w:numPr>
        <w:ind w:left="194" w:leftChars="0" w:firstLine="418" w:firstLineChars="0"/>
        <w:rPr>
          <w:rFonts w:hint="eastAsia" w:ascii="仿宋_GB2312" w:hAnsi="仿宋_GB2312" w:eastAsia="仿宋_GB2312" w:cs="仿宋_GB2312"/>
          <w:sz w:val="32"/>
          <w:szCs w:val="32"/>
          <w:lang w:eastAsia="zh-CN"/>
        </w:rPr>
      </w:pPr>
      <w:r>
        <w:rPr>
          <w:rFonts w:hint="eastAsia" w:ascii="仿宋_GB2312" w:hAnsi="仿宋_GB2312" w:eastAsia="仿宋_GB2312" w:cs="仿宋_GB2312"/>
          <w:i w:val="0"/>
          <w:iCs w:val="0"/>
          <w:caps w:val="0"/>
          <w:color w:val="000000"/>
          <w:spacing w:val="15"/>
          <w:sz w:val="32"/>
          <w:szCs w:val="32"/>
          <w:shd w:val="clear" w:fill="FDFDFD"/>
        </w:rPr>
        <w:t>5月10日</w:t>
      </w:r>
      <w:r>
        <w:rPr>
          <w:rFonts w:hint="eastAsia" w:ascii="仿宋_GB2312" w:hAnsi="仿宋_GB2312" w:eastAsia="仿宋_GB2312" w:cs="仿宋_GB2312"/>
          <w:i w:val="0"/>
          <w:iCs w:val="0"/>
          <w:caps w:val="0"/>
          <w:color w:val="000000"/>
          <w:spacing w:val="15"/>
          <w:sz w:val="32"/>
          <w:szCs w:val="32"/>
          <w:shd w:val="clear" w:fill="FDFDFD"/>
          <w:lang w:eastAsia="zh-CN"/>
        </w:rPr>
        <w:t>，</w:t>
      </w:r>
      <w:r>
        <w:rPr>
          <w:rFonts w:hint="eastAsia" w:ascii="仿宋_GB2312" w:hAnsi="仿宋_GB2312" w:eastAsia="仿宋_GB2312" w:cs="仿宋_GB2312"/>
          <w:i w:val="0"/>
          <w:iCs w:val="0"/>
          <w:caps w:val="0"/>
          <w:color w:val="000000"/>
          <w:spacing w:val="15"/>
          <w:sz w:val="32"/>
          <w:szCs w:val="32"/>
          <w:shd w:val="clear" w:fill="FDFDFD"/>
        </w:rPr>
        <w:t>为了增进公管学子对科研活动的认识、提高对科研活动的兴趣，构建学习交流平台，鼓励更多同学参与到科研活动中</w:t>
      </w:r>
      <w:r>
        <w:rPr>
          <w:rFonts w:hint="eastAsia" w:ascii="仿宋_GB2312" w:hAnsi="仿宋_GB2312" w:eastAsia="仿宋_GB2312" w:cs="仿宋_GB2312"/>
          <w:i w:val="0"/>
          <w:iCs w:val="0"/>
          <w:caps w:val="0"/>
          <w:color w:val="000000"/>
          <w:spacing w:val="15"/>
          <w:sz w:val="32"/>
          <w:szCs w:val="32"/>
          <w:shd w:val="clear" w:fill="FDFDFD"/>
          <w:lang w:eastAsia="zh-CN"/>
        </w:rPr>
        <w:t>，</w:t>
      </w:r>
      <w:r>
        <w:rPr>
          <w:rFonts w:hint="eastAsia" w:ascii="仿宋_GB2312" w:hAnsi="仿宋_GB2312" w:eastAsia="仿宋_GB2312" w:cs="仿宋_GB2312"/>
          <w:i w:val="0"/>
          <w:iCs w:val="0"/>
          <w:caps w:val="0"/>
          <w:color w:val="000000"/>
          <w:spacing w:val="15"/>
          <w:sz w:val="32"/>
          <w:szCs w:val="32"/>
          <w:shd w:val="clear" w:fill="FDFDFD"/>
        </w:rPr>
        <w:t>公共管理学院在线上举行2022年暑期科研交流会，本次活动共有250余人参加，共同学习学院优秀科研团队的经验。</w:t>
      </w:r>
    </w:p>
    <w:p>
      <w:pPr>
        <w:pStyle w:val="2"/>
        <w:numPr>
          <w:ilvl w:val="0"/>
          <w:numId w:val="1"/>
        </w:numPr>
        <w:ind w:left="194" w:leftChars="0" w:firstLine="418" w:firstLineChars="0"/>
        <w:rPr>
          <w:rFonts w:hint="eastAsia" w:ascii="仿宋_GB2312" w:hAnsi="仿宋_GB2312" w:eastAsia="仿宋_GB2312" w:cs="仿宋_GB2312"/>
          <w:sz w:val="32"/>
          <w:szCs w:val="32"/>
          <w:lang w:eastAsia="zh-CN"/>
        </w:rPr>
      </w:pPr>
      <w:r>
        <w:rPr>
          <w:rFonts w:hint="eastAsia" w:ascii="仿宋_GB2312" w:hAnsi="仿宋_GB2312" w:eastAsia="仿宋_GB2312" w:cs="仿宋_GB2312"/>
          <w:i w:val="0"/>
          <w:iCs w:val="0"/>
          <w:caps w:val="0"/>
          <w:color w:val="000000"/>
          <w:spacing w:val="15"/>
          <w:sz w:val="32"/>
          <w:szCs w:val="32"/>
          <w:shd w:val="clear" w:fill="FDFDFD"/>
          <w:lang w:val="en-US" w:eastAsia="zh-CN"/>
        </w:rPr>
        <w:t>5月9日，学院党委副书记李天德、毕业班辅导员甘子明走访学院校友叶盖文所在企业广州青橙教育科技有限公司，双方就毕业生就业，实习实践基地建设，院企合作等方面展开交流探讨，李天德副书记表示要进一步深化合作，在人才培养、就业创业、榜样引领等方面做出新的突破。</w:t>
      </w:r>
    </w:p>
    <w:p>
      <w:pPr>
        <w:pStyle w:val="2"/>
        <w:rPr>
          <w:rFonts w:hint="eastAsia" w:ascii="楷体" w:hAnsi="楷体" w:eastAsia="楷体" w:cs="楷体"/>
          <w:color w:val="000000"/>
          <w:sz w:val="36"/>
          <w:szCs w:val="36"/>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综合管理</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84" w:leftChars="0" w:firstLine="430" w:firstLineChars="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2022年5月10日下午，</w:t>
      </w:r>
      <w:r>
        <w:rPr>
          <w:rFonts w:hint="eastAsia" w:ascii="仿宋_GB2312" w:hAnsi="仿宋_GB2312" w:eastAsia="仿宋_GB2312" w:cs="仿宋_GB2312"/>
          <w:b/>
          <w:bCs/>
          <w:color w:val="000000"/>
          <w:sz w:val="32"/>
          <w:szCs w:val="32"/>
        </w:rPr>
        <w:t>广州城市管理研究联盟2022年度理事会在轮值单位广东财经大学顺利召开</w:t>
      </w:r>
      <w:r>
        <w:rPr>
          <w:rFonts w:hint="eastAsia" w:ascii="仿宋_GB2312" w:hAnsi="仿宋_GB2312" w:eastAsia="仿宋_GB2312" w:cs="仿宋_GB2312"/>
          <w:color w:val="000000"/>
          <w:sz w:val="32"/>
          <w:szCs w:val="32"/>
        </w:rPr>
        <w:t>。广州市城市管理和综合执法局二级巡视员谭礼和主持会议，广东财经大学副校长丁友刚出席会议并讲话。丁友刚向与会嘉宾介绍我校学科和专业建设的基本情况，特别点赞了我校近年来取得的可喜成绩。张光鸿代表研究联盟秘书处汇报了2021年工作情况，暨南大学公共管理学院院长蔡立辉分享了2021年研究联盟轮值工作成果和经验，广东财经大学公共管理学院副院长（主持行政工作）姚军从开展年度课题研究、组织开展“智慧城管+”互动观摩学习、持续扩大研究联盟影响力、深化局校合作培养人才模式、举办学术论坛和城市管理案例创新大赛、课题研究成果汇编与出版等方面介绍了研究联盟2022年工作计划，与会各成员单位进行了充分讨论，对2022年工作计划提出了完善意见。广州市城市管理和综合执法局二级巡视员谭礼和做总结讲话，肯定了此次会议的重要意义，称赞了近几年研究联盟工作在运行机制、课题研究、成果运用、智库建设等方面取得的成效。</w:t>
      </w:r>
    </w:p>
    <w:p>
      <w:pPr>
        <w:pStyle w:val="2"/>
        <w:rPr>
          <w:rFonts w:hint="eastAsia" w:ascii="仿宋_GB2312" w:hAnsi="仿宋_GB2312" w:eastAsia="仿宋_GB2312" w:cs="仿宋_GB2312"/>
          <w:color w:val="000000"/>
          <w:sz w:val="32"/>
          <w:szCs w:val="32"/>
        </w:rPr>
      </w:pPr>
    </w:p>
    <w:p>
      <w:pPr>
        <w:pStyle w:val="2"/>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sz w:val="32"/>
          <w:szCs w:val="32"/>
        </w:rPr>
        <w:drawing>
          <wp:inline distT="0" distB="0" distL="0" distR="0">
            <wp:extent cx="2543175" cy="1787525"/>
            <wp:effectExtent l="0" t="0" r="952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2543175" cy="1787525"/>
                    </a:xfrm>
                    <a:prstGeom prst="rect">
                      <a:avLst/>
                    </a:prstGeom>
                  </pic:spPr>
                </pic:pic>
              </a:graphicData>
            </a:graphic>
          </wp:inline>
        </w:drawing>
      </w:r>
      <w:r>
        <w:rPr>
          <w:rFonts w:hint="eastAsia" w:ascii="仿宋_GB2312" w:hAnsi="仿宋_GB2312" w:eastAsia="仿宋_GB2312" w:cs="仿宋_GB2312"/>
          <w:color w:val="000000"/>
          <w:sz w:val="32"/>
          <w:szCs w:val="32"/>
        </w:rPr>
        <w:drawing>
          <wp:inline distT="0" distB="0" distL="0" distR="0">
            <wp:extent cx="2266950" cy="1828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2266950" cy="1828800"/>
                    </a:xfrm>
                    <a:prstGeom prst="rect">
                      <a:avLst/>
                    </a:prstGeom>
                  </pic:spPr>
                </pic:pic>
              </a:graphicData>
            </a:graphic>
          </wp:inline>
        </w:drawing>
      </w:r>
    </w:p>
    <w:p>
      <w:pPr>
        <w:pStyle w:val="2"/>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420" w:leftChars="0"/>
        <w:jc w:val="both"/>
        <w:textAlignment w:val="auto"/>
        <w:rPr>
          <w:rFonts w:hint="eastAsia" w:ascii="仿宋_GB2312" w:hAnsi="仿宋_GB2312" w:eastAsia="仿宋_GB2312" w:cs="仿宋_GB2312"/>
          <w:b/>
          <w:bCs/>
          <w:color w:val="000000"/>
          <w:sz w:val="32"/>
          <w:szCs w:val="32"/>
          <w:lang w:eastAsia="zh-CN"/>
        </w:rPr>
      </w:pPr>
      <w:r>
        <w:rPr>
          <w:rFonts w:hint="eastAsia" w:ascii="仿宋_GB2312" w:hAnsi="仿宋_GB2312" w:eastAsia="仿宋_GB2312" w:cs="仿宋_GB2312"/>
          <w:color w:val="000000"/>
          <w:sz w:val="32"/>
          <w:szCs w:val="32"/>
        </w:rPr>
        <w:drawing>
          <wp:inline distT="0" distB="0" distL="0" distR="0">
            <wp:extent cx="2475230" cy="1848485"/>
            <wp:effectExtent l="0" t="0" r="1270" b="184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475230" cy="1848485"/>
                    </a:xfrm>
                    <a:prstGeom prst="rect">
                      <a:avLst/>
                    </a:prstGeom>
                  </pic:spPr>
                </pic:pic>
              </a:graphicData>
            </a:graphic>
          </wp:inline>
        </w:drawing>
      </w:r>
      <w:r>
        <w:rPr>
          <w:rFonts w:hint="eastAsia" w:ascii="仿宋_GB2312" w:hAnsi="仿宋_GB2312" w:eastAsia="仿宋_GB2312" w:cs="仿宋_GB2312"/>
          <w:color w:val="000000"/>
          <w:sz w:val="32"/>
          <w:szCs w:val="32"/>
        </w:rPr>
        <w:drawing>
          <wp:inline distT="0" distB="0" distL="0" distR="0">
            <wp:extent cx="2432050" cy="1875790"/>
            <wp:effectExtent l="0" t="0" r="635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2432050" cy="187579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84" w:leftChars="0" w:firstLine="430" w:firstLineChars="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截止2022年5月13日，按学校和后勤处资产清查的要求，通过对固定资产逐一查实，完成账务信息与实物资产的核对、系统固定资产信息的更新维护、固定资产标签的检查粘贴等工作</w:t>
      </w:r>
      <w:r>
        <w:rPr>
          <w:rFonts w:hint="eastAsia" w:ascii="仿宋_GB2312" w:hAnsi="仿宋_GB2312" w:eastAsia="仿宋_GB2312" w:cs="仿宋_GB2312"/>
          <w:color w:val="000000"/>
          <w:sz w:val="32"/>
          <w:szCs w:val="32"/>
          <w:lang w:eastAsia="zh-CN"/>
        </w:rPr>
        <w:t>，完成学院固定资产清查和房产清查工作（</w:t>
      </w:r>
      <w:r>
        <w:rPr>
          <w:rFonts w:hint="eastAsia" w:ascii="仿宋_GB2312" w:hAnsi="仿宋_GB2312" w:eastAsia="仿宋_GB2312" w:cs="仿宋_GB2312"/>
          <w:color w:val="000000"/>
          <w:sz w:val="32"/>
          <w:szCs w:val="32"/>
          <w:lang w:val="en-US" w:eastAsia="zh-CN"/>
        </w:rPr>
        <w:t>2021年12月31日前的数据）</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总体清查</w:t>
      </w:r>
      <w:r>
        <w:rPr>
          <w:rFonts w:hint="eastAsia" w:ascii="仿宋_GB2312" w:hAnsi="仿宋_GB2312" w:eastAsia="仿宋_GB2312" w:cs="仿宋_GB2312"/>
          <w:color w:val="000000"/>
          <w:sz w:val="32"/>
          <w:szCs w:val="32"/>
        </w:rPr>
        <w:t>情况如下：</w:t>
      </w:r>
    </w:p>
    <w:p>
      <w:pPr>
        <w:pStyle w:val="2"/>
        <w:jc w:val="both"/>
        <w:rPr>
          <w:rFonts w:hint="eastAsia"/>
          <w:lang w:eastAsia="zh-CN"/>
        </w:rPr>
      </w:pPr>
      <w:r>
        <w:rPr>
          <w:rFonts w:ascii="仿宋" w:hAnsi="仿宋" w:eastAsia="仿宋"/>
          <w:color w:val="000000"/>
          <w:sz w:val="31"/>
          <w:szCs w:val="31"/>
        </w:rPr>
        <w:drawing>
          <wp:inline distT="0" distB="0" distL="0" distR="0">
            <wp:extent cx="4932680" cy="2005330"/>
            <wp:effectExtent l="0" t="0" r="1270" b="139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4932680" cy="200533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84" w:leftChars="0" w:firstLine="430" w:firstLineChars="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截止5月11日，根据系统导出实验室固定资产明细账表，对实验室188件固定资产进行统一查实，做到帐、物、</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color w:val="000000"/>
          <w:sz w:val="32"/>
          <w:szCs w:val="32"/>
          <w:u w:val="single"/>
        </w:rPr>
        <w:t>标签</w:t>
      </w:r>
      <w:r>
        <w:rPr>
          <w:rFonts w:hint="eastAsia" w:ascii="仿宋_GB2312" w:hAnsi="仿宋_GB2312" w:eastAsia="仿宋_GB2312" w:cs="仿宋_GB2312"/>
          <w:color w:val="000000"/>
          <w:sz w:val="32"/>
          <w:szCs w:val="32"/>
          <w:u w:val="single"/>
        </w:rPr>
        <w:fldChar w:fldCharType="end"/>
      </w:r>
      <w:r>
        <w:rPr>
          <w:rFonts w:hint="eastAsia" w:ascii="仿宋_GB2312" w:hAnsi="仿宋_GB2312" w:eastAsia="仿宋_GB2312" w:cs="仿宋_GB2312"/>
          <w:color w:val="000000"/>
          <w:sz w:val="32"/>
          <w:szCs w:val="32"/>
        </w:rPr>
        <w:t>相符，完成系统固定资产信息的更新维护，旧版的固定资产标签重贴新版的标签，由于系统问题并盘盈27件固定资产，同时按要求填报相关的表格。对省级“土地与房地产信息管理实验教学中心”下辖实验室用房进行清查，完成账务信息与实物房屋的核对，并按要求完成系统中房屋信息的更新及填报</w:t>
      </w:r>
      <w:r>
        <w:rPr>
          <w:rFonts w:hint="eastAsia" w:ascii="仿宋_GB2312" w:hAnsi="仿宋_GB2312" w:eastAsia="仿宋_GB2312" w:cs="仿宋_GB2312"/>
          <w:color w:val="00000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jc w:val="both"/>
        <w:textAlignment w:val="auto"/>
        <w:rPr>
          <w:rFonts w:hint="eastAsia"/>
          <w:sz w:val="32"/>
          <w:szCs w:val="32"/>
          <w:lang w:eastAsia="zh-CN"/>
        </w:rPr>
      </w:pPr>
      <w:r>
        <w:rPr>
          <w:rFonts w:hint="eastAsia" w:ascii="华文中宋" w:hAnsi="华文中宋" w:eastAsia="华文中宋" w:cs="华文中宋"/>
          <w:b/>
          <w:bCs/>
          <w:color w:val="000000"/>
          <w:sz w:val="40"/>
          <w:szCs w:val="40"/>
          <w:lang w:eastAsia="zh-CN"/>
        </w:rPr>
        <w:t>【研究生工作】</w:t>
      </w:r>
    </w:p>
    <w:p>
      <w:pPr>
        <w:pStyle w:val="2"/>
        <w:rPr>
          <w:rFonts w:hint="eastAsia"/>
          <w:lang w:eastAsia="zh-CN"/>
        </w:rPr>
      </w:pPr>
    </w:p>
    <w:p>
      <w:pPr>
        <w:numPr>
          <w:ilvl w:val="0"/>
          <w:numId w:val="0"/>
        </w:numPr>
        <w:snapToGrid w:val="0"/>
        <w:spacing w:before="0" w:after="0" w:line="360" w:lineRule="auto"/>
        <w:ind w:left="420" w:leftChars="0"/>
        <w:jc w:val="both"/>
        <w:rPr>
          <w:rFonts w:hint="eastAsia" w:ascii="仿宋" w:hAnsi="仿宋" w:eastAsia="仿宋"/>
          <w:color w:val="000000"/>
          <w:sz w:val="32"/>
          <w:szCs w:val="32"/>
          <w:lang w:eastAsia="zh-CN"/>
        </w:rPr>
      </w:pPr>
    </w:p>
    <w:p>
      <w:pPr>
        <w:pStyle w:val="4"/>
      </w:pP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D5A0F5AF-6DBD-4CC6-ADAF-D1A0220E932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embedRegular r:id="rId2" w:fontKey="{0D5B5E8C-3317-4A94-B8C7-ACB5571C91FB}"/>
  </w:font>
  <w:font w:name="Calibri Light">
    <w:panose1 w:val="020F0302020204030204"/>
    <w:charset w:val="00"/>
    <w:family w:val="auto"/>
    <w:pitch w:val="default"/>
    <w:sig w:usb0="A00002EF" w:usb1="4000207B" w:usb2="00000000" w:usb3="00000000" w:csb0="2000019F" w:csb1="00000000"/>
    <w:embedRegular r:id="rId3" w:fontKey="{9372E40A-0956-46DE-9670-43B9041E1D7D}"/>
  </w:font>
  <w:font w:name="华文中宋">
    <w:panose1 w:val="02010600040101010101"/>
    <w:charset w:val="86"/>
    <w:family w:val="auto"/>
    <w:pitch w:val="default"/>
    <w:sig w:usb0="00000287" w:usb1="080F0000" w:usb2="00000000" w:usb3="00000000" w:csb0="0004009F" w:csb1="DFD70000"/>
    <w:embedRegular r:id="rId4" w:fontKey="{AB426931-BEA1-4F56-A349-259EA73E6F3B}"/>
  </w:font>
  <w:font w:name="仿宋">
    <w:panose1 w:val="02010609060101010101"/>
    <w:charset w:val="86"/>
    <w:family w:val="auto"/>
    <w:pitch w:val="default"/>
    <w:sig w:usb0="800002BF" w:usb1="38CF7CFA" w:usb2="00000016" w:usb3="00000000" w:csb0="00040001" w:csb1="00000000"/>
    <w:embedRegular r:id="rId5" w:fontKey="{1E0763CE-E472-4BD4-B189-32EF5BF28276}"/>
  </w:font>
  <w:font w:name="仿宋_GB2312">
    <w:panose1 w:val="02010609030101010101"/>
    <w:charset w:val="86"/>
    <w:family w:val="auto"/>
    <w:pitch w:val="default"/>
    <w:sig w:usb0="00000001" w:usb1="080E0000" w:usb2="00000000" w:usb3="00000000" w:csb0="00040000" w:csb1="00000000"/>
    <w:embedRegular r:id="rId6" w:fontKey="{C8E23B5E-CBC6-4CC3-BA6C-DD06BED2AFEC}"/>
  </w:font>
  <w:font w:name="楷体">
    <w:panose1 w:val="02010609060101010101"/>
    <w:charset w:val="86"/>
    <w:family w:val="auto"/>
    <w:pitch w:val="default"/>
    <w:sig w:usb0="800002BF" w:usb1="38CF7CFA" w:usb2="00000016" w:usb3="00000000" w:csb0="00040001" w:csb1="00000000"/>
    <w:embedRegular r:id="rId7" w:fontKey="{47FFA75F-E809-4CCB-ADF9-7EFB274734F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B3B648"/>
    <w:multiLevelType w:val="singleLevel"/>
    <w:tmpl w:val="42B3B648"/>
    <w:lvl w:ilvl="0" w:tentative="0">
      <w:start w:val="1"/>
      <w:numFmt w:val="bullet"/>
      <w:lvlText w:val=""/>
      <w:lvlJc w:val="left"/>
      <w:pPr>
        <w:ind w:left="614"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kOGY4MTNjNjE2M2Q2NmNkOTVjNTkwOGYwZWRjZTUifQ=="/>
  </w:docVars>
  <w:rsids>
    <w:rsidRoot w:val="66BC6E6D"/>
    <w:rsid w:val="06C27F47"/>
    <w:rsid w:val="070047B1"/>
    <w:rsid w:val="0B043F8B"/>
    <w:rsid w:val="0F7A534C"/>
    <w:rsid w:val="11C07F7F"/>
    <w:rsid w:val="12E84734"/>
    <w:rsid w:val="17A12A19"/>
    <w:rsid w:val="1A614E9E"/>
    <w:rsid w:val="1E750DAB"/>
    <w:rsid w:val="269F16E1"/>
    <w:rsid w:val="290218F6"/>
    <w:rsid w:val="2A6A7959"/>
    <w:rsid w:val="2B662A84"/>
    <w:rsid w:val="2EA25342"/>
    <w:rsid w:val="2FF92384"/>
    <w:rsid w:val="34437A7B"/>
    <w:rsid w:val="49474275"/>
    <w:rsid w:val="4C277E96"/>
    <w:rsid w:val="4CBC40C3"/>
    <w:rsid w:val="56690A0B"/>
    <w:rsid w:val="569F7AC5"/>
    <w:rsid w:val="591F51AE"/>
    <w:rsid w:val="5D9F6289"/>
    <w:rsid w:val="64A15D18"/>
    <w:rsid w:val="66464085"/>
    <w:rsid w:val="66BC6E6D"/>
    <w:rsid w:val="6CB31107"/>
    <w:rsid w:val="6CE1466D"/>
    <w:rsid w:val="6E662DA3"/>
    <w:rsid w:val="70DC7AAD"/>
    <w:rsid w:val="74FF7E48"/>
    <w:rsid w:val="76A37444"/>
    <w:rsid w:val="7A770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4">
    <w:name w:val="Body Text"/>
    <w:basedOn w:val="1"/>
    <w:next w:val="1"/>
    <w:qFormat/>
    <w:uiPriority w:val="0"/>
    <w:pPr>
      <w:spacing w:after="120"/>
    </w:pPr>
    <w:rPr>
      <w:rFonts w:ascii="Times New Roman" w:hAnsi="Times New Roman"/>
      <w:szCs w:val="21"/>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3997</Words>
  <Characters>4201</Characters>
  <Lines>0</Lines>
  <Paragraphs>0</Paragraphs>
  <TotalTime>3</TotalTime>
  <ScaleCrop>false</ScaleCrop>
  <LinksUpToDate>false</LinksUpToDate>
  <CharactersWithSpaces>4203</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2022-04-22T08:58:00Z</dcterms:created>
  <dc:creator>曾华强(19951522)</dc:creator>
  <cp:lastModifiedBy>曾华强(19951522)</cp:lastModifiedBy>
  <cp:lastPrinted>2022-04-22T09:19:00Z</cp:lastPrinted>
  <dcterms:modified xsi:type="dcterms:W3CDTF">2022-05-13T09:24:28Z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EE0071C4EEB64203A741F79568A875DD</vt:lpwstr>
  </property>
  <property fmtid="{D5CDD505-2E9C-101B-9397-08002B2CF9AE}" pid="4" name="commondata">
    <vt:lpwstr>eyJoZGlkIjoiMWNkOGY4MTNjNjE2M2Q2NmNkOTVjNTkwOGYwZWRjZTUifQ==</vt:lpwstr>
  </property>
</Properties>
</file>